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E416F9" w14:textId="77777777" w:rsidR="00233B44" w:rsidRPr="00655860" w:rsidRDefault="00C8140D" w:rsidP="009A1130">
      <w:pPr>
        <w:pStyle w:val="Title"/>
        <w:spacing w:before="360" w:after="120" w:line="360" w:lineRule="auto"/>
        <w:rPr>
          <w:rFonts w:asciiTheme="minorHAnsi" w:hAnsiTheme="minorHAnsi" w:cstheme="minorHAnsi"/>
          <w:sz w:val="24"/>
          <w:szCs w:val="24"/>
        </w:rPr>
      </w:pPr>
      <w:r w:rsidRPr="00655860">
        <w:rPr>
          <w:rFonts w:asciiTheme="minorHAnsi" w:hAnsiTheme="minorHAnsi" w:cstheme="minorHAnsi"/>
          <w:sz w:val="24"/>
          <w:szCs w:val="24"/>
        </w:rPr>
        <w:t>GLOBAL MASTER SECURITIES LENDING AGREEMENT</w:t>
      </w:r>
    </w:p>
    <w:p w14:paraId="48520634" w14:textId="77777777" w:rsidR="00E20DBD" w:rsidRPr="00655860" w:rsidRDefault="00C8140D" w:rsidP="00233B44">
      <w:pPr>
        <w:pStyle w:val="Title"/>
        <w:spacing w:before="120" w:after="120" w:line="360" w:lineRule="auto"/>
        <w:rPr>
          <w:rFonts w:asciiTheme="minorHAnsi" w:hAnsiTheme="minorHAnsi" w:cstheme="minorHAnsi"/>
          <w:sz w:val="24"/>
          <w:szCs w:val="24"/>
        </w:rPr>
      </w:pPr>
      <w:r w:rsidRPr="00655860">
        <w:rPr>
          <w:rFonts w:asciiTheme="minorHAnsi" w:hAnsiTheme="minorHAnsi" w:cstheme="minorHAnsi"/>
          <w:sz w:val="24"/>
          <w:szCs w:val="24"/>
        </w:rPr>
        <w:t>(2000 version) / (</w:t>
      </w:r>
      <w:r w:rsidRPr="00655860">
        <w:rPr>
          <w:rFonts w:asciiTheme="minorHAnsi" w:hAnsiTheme="minorHAnsi" w:cstheme="minorHAnsi"/>
          <w:color w:val="0070C0"/>
          <w:sz w:val="24"/>
          <w:szCs w:val="24"/>
        </w:rPr>
        <w:t>2010 version</w:t>
      </w:r>
      <w:r w:rsidRPr="00655860">
        <w:rPr>
          <w:rFonts w:asciiTheme="minorHAnsi" w:hAnsiTheme="minorHAnsi" w:cstheme="minorHAnsi"/>
          <w:sz w:val="24"/>
          <w:szCs w:val="24"/>
        </w:rPr>
        <w:t>)</w:t>
      </w:r>
    </w:p>
    <w:p w14:paraId="0DC4D821" w14:textId="77777777" w:rsidR="00233B44" w:rsidRPr="00655860" w:rsidRDefault="00C8140D" w:rsidP="00233B44">
      <w:pPr>
        <w:pStyle w:val="Title"/>
        <w:spacing w:before="120" w:after="120" w:line="360" w:lineRule="auto"/>
        <w:rPr>
          <w:rFonts w:asciiTheme="minorHAnsi" w:hAnsiTheme="minorHAnsi" w:cstheme="minorHAnsi"/>
          <w:sz w:val="24"/>
          <w:szCs w:val="24"/>
        </w:rPr>
      </w:pPr>
      <w:r w:rsidRPr="00655860">
        <w:rPr>
          <w:rFonts w:asciiTheme="minorHAnsi" w:hAnsiTheme="minorHAnsi" w:cstheme="minorHAnsi"/>
          <w:sz w:val="24"/>
          <w:szCs w:val="24"/>
        </w:rPr>
        <w:t>ADDENDUM FOR SECURITIES LISTED IN MALAYSIA UNDER SBLNT MODEL</w:t>
      </w:r>
    </w:p>
    <w:p w14:paraId="53A4184B" w14:textId="77777777" w:rsidR="00E20DBD" w:rsidRPr="00655860" w:rsidRDefault="00C8140D" w:rsidP="006C7FA9">
      <w:pPr>
        <w:pStyle w:val="Title"/>
        <w:spacing w:before="360" w:after="120"/>
        <w:jc w:val="both"/>
        <w:rPr>
          <w:rFonts w:asciiTheme="minorHAnsi" w:hAnsiTheme="minorHAnsi" w:cstheme="minorHAnsi"/>
          <w:b w:val="0"/>
          <w:bCs/>
          <w:sz w:val="24"/>
          <w:szCs w:val="24"/>
        </w:rPr>
      </w:pPr>
      <w:r w:rsidRPr="00655860">
        <w:rPr>
          <w:rFonts w:asciiTheme="minorHAnsi" w:hAnsiTheme="minorHAnsi" w:cstheme="minorHAnsi"/>
          <w:b w:val="0"/>
          <w:sz w:val="24"/>
          <w:szCs w:val="24"/>
        </w:rPr>
        <w:t xml:space="preserve">This Addendum </w:t>
      </w:r>
      <w:r w:rsidRPr="00655860">
        <w:rPr>
          <w:rFonts w:asciiTheme="minorHAnsi" w:hAnsiTheme="minorHAnsi" w:cstheme="minorHAnsi"/>
          <w:b w:val="0"/>
          <w:bCs/>
          <w:sz w:val="24"/>
          <w:szCs w:val="24"/>
        </w:rPr>
        <w:t>is for Malaysian securities borrowing and lending transactions (this “</w:t>
      </w:r>
      <w:r w:rsidRPr="00655860">
        <w:rPr>
          <w:rFonts w:asciiTheme="minorHAnsi" w:hAnsiTheme="minorHAnsi" w:cstheme="minorHAnsi"/>
          <w:bCs/>
          <w:sz w:val="24"/>
          <w:szCs w:val="24"/>
        </w:rPr>
        <w:t>Addendum</w:t>
      </w:r>
      <w:r w:rsidRPr="00655860">
        <w:rPr>
          <w:rFonts w:asciiTheme="minorHAnsi" w:hAnsiTheme="minorHAnsi" w:cstheme="minorHAnsi"/>
          <w:b w:val="0"/>
          <w:bCs/>
          <w:sz w:val="24"/>
          <w:szCs w:val="24"/>
        </w:rPr>
        <w:t>”), dated as of [</w:t>
      </w:r>
      <w:r w:rsidRPr="00655860">
        <w:rPr>
          <w:rFonts w:asciiTheme="minorHAnsi" w:hAnsiTheme="minorHAnsi" w:cstheme="minorHAnsi"/>
          <w:b w:val="0"/>
          <w:bCs/>
          <w:i/>
          <w:iCs/>
          <w:sz w:val="24"/>
          <w:szCs w:val="24"/>
        </w:rPr>
        <w:t>insert date</w:t>
      </w:r>
      <w:r w:rsidRPr="00655860">
        <w:rPr>
          <w:rFonts w:asciiTheme="minorHAnsi" w:hAnsiTheme="minorHAnsi" w:cstheme="minorHAnsi"/>
          <w:b w:val="0"/>
          <w:bCs/>
          <w:sz w:val="24"/>
          <w:szCs w:val="24"/>
        </w:rPr>
        <w:t xml:space="preserve">], is an addendum to, and forms part of, </w:t>
      </w:r>
      <w:r w:rsidRPr="00655860">
        <w:rPr>
          <w:rFonts w:asciiTheme="minorHAnsi" w:hAnsiTheme="minorHAnsi" w:cstheme="minorHAnsi"/>
          <w:b w:val="0"/>
          <w:sz w:val="24"/>
          <w:szCs w:val="24"/>
        </w:rPr>
        <w:t>the Global Master Securities Lending Agreement [(2000 Version)] / [(2010 Version)]</w:t>
      </w:r>
      <w:r w:rsidRPr="00655860">
        <w:rPr>
          <w:rFonts w:asciiTheme="minorHAnsi" w:hAnsiTheme="minorHAnsi" w:cstheme="minorHAnsi"/>
          <w:b w:val="0"/>
          <w:bCs/>
          <w:sz w:val="24"/>
          <w:szCs w:val="24"/>
        </w:rPr>
        <w:t xml:space="preserve"> between </w:t>
      </w:r>
    </w:p>
    <w:p w14:paraId="5944D8D3" w14:textId="77777777" w:rsidR="00E20DBD" w:rsidRPr="00655860" w:rsidRDefault="00C8140D" w:rsidP="003A450F">
      <w:pPr>
        <w:pStyle w:val="Title"/>
        <w:spacing w:before="240" w:after="240"/>
        <w:ind w:left="720" w:hanging="720"/>
        <w:jc w:val="both"/>
        <w:rPr>
          <w:rFonts w:asciiTheme="minorHAnsi" w:hAnsiTheme="minorHAnsi" w:cstheme="minorHAnsi"/>
          <w:b w:val="0"/>
          <w:bCs/>
          <w:sz w:val="24"/>
          <w:szCs w:val="24"/>
        </w:rPr>
      </w:pPr>
      <w:r w:rsidRPr="00655860">
        <w:rPr>
          <w:rFonts w:asciiTheme="minorHAnsi" w:hAnsiTheme="minorHAnsi" w:cstheme="minorHAnsi"/>
          <w:b w:val="0"/>
          <w:bCs/>
          <w:sz w:val="24"/>
          <w:szCs w:val="24"/>
        </w:rPr>
        <w:t>(1)</w:t>
      </w:r>
      <w:r w:rsidRPr="00655860">
        <w:rPr>
          <w:rFonts w:asciiTheme="minorHAnsi" w:hAnsiTheme="minorHAnsi" w:cstheme="minorHAnsi"/>
          <w:b w:val="0"/>
          <w:bCs/>
          <w:sz w:val="24"/>
          <w:szCs w:val="24"/>
        </w:rPr>
        <w:tab/>
        <w:t>[</w:t>
      </w:r>
      <w:r w:rsidRPr="00655860">
        <w:rPr>
          <w:rFonts w:asciiTheme="minorHAnsi" w:hAnsiTheme="minorHAnsi" w:cstheme="minorHAnsi"/>
          <w:b w:val="0"/>
          <w:bCs/>
          <w:i/>
          <w:sz w:val="24"/>
          <w:szCs w:val="24"/>
        </w:rPr>
        <w:t>insert legal entity name of other party</w:t>
      </w:r>
      <w:r w:rsidRPr="00655860">
        <w:rPr>
          <w:rFonts w:asciiTheme="minorHAnsi" w:hAnsiTheme="minorHAnsi" w:cstheme="minorHAnsi"/>
          <w:b w:val="0"/>
          <w:bCs/>
          <w:sz w:val="24"/>
          <w:szCs w:val="24"/>
        </w:rPr>
        <w:t>]</w:t>
      </w:r>
      <w:r w:rsidRPr="00655860">
        <w:rPr>
          <w:rFonts w:asciiTheme="minorHAnsi" w:hAnsiTheme="minorHAnsi" w:cstheme="minorHAnsi"/>
          <w:bCs/>
          <w:sz w:val="24"/>
          <w:szCs w:val="24"/>
        </w:rPr>
        <w:t xml:space="preserve"> </w:t>
      </w:r>
      <w:r w:rsidRPr="00655860">
        <w:rPr>
          <w:rFonts w:asciiTheme="minorHAnsi" w:hAnsiTheme="minorHAnsi" w:cstheme="minorHAnsi"/>
          <w:b w:val="0"/>
          <w:bCs/>
          <w:sz w:val="24"/>
          <w:szCs w:val="24"/>
        </w:rPr>
        <w:t>(“</w:t>
      </w:r>
      <w:r w:rsidRPr="00655860">
        <w:rPr>
          <w:rFonts w:asciiTheme="minorHAnsi" w:hAnsiTheme="minorHAnsi" w:cstheme="minorHAnsi"/>
          <w:bCs/>
          <w:sz w:val="24"/>
          <w:szCs w:val="24"/>
        </w:rPr>
        <w:t>Party A</w:t>
      </w:r>
      <w:r w:rsidRPr="00655860">
        <w:rPr>
          <w:rFonts w:asciiTheme="minorHAnsi" w:hAnsiTheme="minorHAnsi" w:cstheme="minorHAnsi"/>
          <w:b w:val="0"/>
          <w:bCs/>
          <w:sz w:val="24"/>
          <w:szCs w:val="24"/>
        </w:rPr>
        <w:t>”), organized and established under the laws of [</w:t>
      </w:r>
      <w:r w:rsidRPr="00655860">
        <w:rPr>
          <w:rFonts w:asciiTheme="minorHAnsi" w:eastAsia="SimSun" w:hAnsiTheme="minorHAnsi" w:cstheme="minorHAnsi"/>
          <w:b w:val="0"/>
          <w:bCs/>
          <w:sz w:val="24"/>
          <w:szCs w:val="24"/>
        </w:rPr>
        <w:t>●</w:t>
      </w:r>
      <w:r w:rsidRPr="00655860">
        <w:rPr>
          <w:rFonts w:asciiTheme="minorHAnsi" w:hAnsiTheme="minorHAnsi" w:cstheme="minorHAnsi"/>
          <w:b w:val="0"/>
          <w:bCs/>
          <w:sz w:val="24"/>
          <w:szCs w:val="24"/>
        </w:rPr>
        <w:t>]</w:t>
      </w:r>
      <w:r w:rsidRPr="00655860">
        <w:rPr>
          <w:rFonts w:asciiTheme="minorHAnsi" w:eastAsia="PMingLiU" w:hAnsiTheme="minorHAnsi" w:cstheme="minorHAnsi"/>
          <w:b w:val="0"/>
          <w:sz w:val="24"/>
          <w:szCs w:val="24"/>
          <w:lang w:eastAsia="zh-TW"/>
        </w:rPr>
        <w:t xml:space="preserve">, and located at </w:t>
      </w:r>
      <w:r w:rsidRPr="00655860">
        <w:rPr>
          <w:rFonts w:asciiTheme="minorHAnsi" w:hAnsiTheme="minorHAnsi" w:cstheme="minorHAnsi"/>
          <w:b w:val="0"/>
          <w:bCs/>
          <w:sz w:val="24"/>
          <w:szCs w:val="24"/>
        </w:rPr>
        <w:t>[</w:t>
      </w:r>
      <w:r w:rsidRPr="00655860">
        <w:rPr>
          <w:rFonts w:asciiTheme="minorHAnsi" w:eastAsia="SimSun" w:hAnsiTheme="minorHAnsi" w:cstheme="minorHAnsi"/>
          <w:b w:val="0"/>
          <w:bCs/>
          <w:sz w:val="24"/>
          <w:szCs w:val="24"/>
        </w:rPr>
        <w:t>●</w:t>
      </w:r>
      <w:r w:rsidRPr="00655860">
        <w:rPr>
          <w:rFonts w:asciiTheme="minorHAnsi" w:hAnsiTheme="minorHAnsi" w:cstheme="minorHAnsi"/>
          <w:b w:val="0"/>
          <w:bCs/>
          <w:sz w:val="24"/>
          <w:szCs w:val="24"/>
        </w:rPr>
        <w:t>]; and</w:t>
      </w:r>
    </w:p>
    <w:p w14:paraId="413EFFDA" w14:textId="77777777" w:rsidR="00B55F78" w:rsidRPr="00655860" w:rsidRDefault="00C8140D" w:rsidP="003A450F">
      <w:pPr>
        <w:pStyle w:val="Title"/>
        <w:spacing w:before="240" w:after="240"/>
        <w:ind w:left="720" w:hanging="720"/>
        <w:jc w:val="both"/>
        <w:rPr>
          <w:rFonts w:asciiTheme="minorHAnsi" w:hAnsiTheme="minorHAnsi" w:cstheme="minorHAnsi"/>
          <w:b w:val="0"/>
          <w:bCs/>
          <w:sz w:val="24"/>
          <w:szCs w:val="24"/>
        </w:rPr>
      </w:pPr>
      <w:r w:rsidRPr="00655860">
        <w:rPr>
          <w:rFonts w:asciiTheme="minorHAnsi" w:hAnsiTheme="minorHAnsi" w:cstheme="minorHAnsi"/>
          <w:b w:val="0"/>
          <w:bCs/>
          <w:sz w:val="24"/>
          <w:szCs w:val="24"/>
        </w:rPr>
        <w:t>(2)</w:t>
      </w:r>
      <w:r w:rsidRPr="00655860">
        <w:rPr>
          <w:rFonts w:asciiTheme="minorHAnsi" w:hAnsiTheme="minorHAnsi" w:cstheme="minorHAnsi"/>
          <w:b w:val="0"/>
          <w:bCs/>
          <w:sz w:val="24"/>
          <w:szCs w:val="24"/>
        </w:rPr>
        <w:tab/>
        <w:t>[</w:t>
      </w:r>
      <w:r w:rsidRPr="00655860">
        <w:rPr>
          <w:rFonts w:asciiTheme="minorHAnsi" w:hAnsiTheme="minorHAnsi" w:cstheme="minorHAnsi"/>
          <w:b w:val="0"/>
          <w:bCs/>
          <w:i/>
          <w:sz w:val="24"/>
          <w:szCs w:val="24"/>
        </w:rPr>
        <w:t>insert legal entity name of other party</w:t>
      </w:r>
      <w:r w:rsidRPr="00655860">
        <w:rPr>
          <w:rFonts w:asciiTheme="minorHAnsi" w:hAnsiTheme="minorHAnsi" w:cstheme="minorHAnsi"/>
          <w:b w:val="0"/>
          <w:bCs/>
          <w:sz w:val="24"/>
          <w:szCs w:val="24"/>
        </w:rPr>
        <w:t>] (“</w:t>
      </w:r>
      <w:r w:rsidRPr="00655860">
        <w:rPr>
          <w:rFonts w:asciiTheme="minorHAnsi" w:hAnsiTheme="minorHAnsi" w:cstheme="minorHAnsi"/>
          <w:bCs/>
          <w:sz w:val="24"/>
          <w:szCs w:val="24"/>
        </w:rPr>
        <w:t>Party B</w:t>
      </w:r>
      <w:r w:rsidRPr="00655860">
        <w:rPr>
          <w:rFonts w:asciiTheme="minorHAnsi" w:hAnsiTheme="minorHAnsi" w:cstheme="minorHAnsi"/>
          <w:b w:val="0"/>
          <w:bCs/>
          <w:sz w:val="24"/>
          <w:szCs w:val="24"/>
        </w:rPr>
        <w:t>”), organized and established under the laws of [</w:t>
      </w:r>
      <w:r w:rsidRPr="00655860">
        <w:rPr>
          <w:rFonts w:asciiTheme="minorHAnsi" w:eastAsia="SimSun" w:hAnsiTheme="minorHAnsi" w:cstheme="minorHAnsi"/>
          <w:b w:val="0"/>
          <w:bCs/>
          <w:sz w:val="24"/>
          <w:szCs w:val="24"/>
        </w:rPr>
        <w:t>●</w:t>
      </w:r>
      <w:r w:rsidRPr="00655860">
        <w:rPr>
          <w:rFonts w:asciiTheme="minorHAnsi" w:hAnsiTheme="minorHAnsi" w:cstheme="minorHAnsi"/>
          <w:b w:val="0"/>
          <w:bCs/>
          <w:sz w:val="24"/>
          <w:szCs w:val="24"/>
        </w:rPr>
        <w:t>]</w:t>
      </w:r>
      <w:r w:rsidRPr="00655860">
        <w:rPr>
          <w:rFonts w:asciiTheme="minorHAnsi" w:eastAsia="PMingLiU" w:hAnsiTheme="minorHAnsi" w:cstheme="minorHAnsi"/>
          <w:b w:val="0"/>
          <w:sz w:val="24"/>
          <w:szCs w:val="24"/>
          <w:lang w:eastAsia="zh-TW"/>
        </w:rPr>
        <w:t xml:space="preserve">, and located at </w:t>
      </w:r>
      <w:r w:rsidRPr="00655860">
        <w:rPr>
          <w:rFonts w:asciiTheme="minorHAnsi" w:hAnsiTheme="minorHAnsi" w:cstheme="minorHAnsi"/>
          <w:b w:val="0"/>
          <w:bCs/>
          <w:sz w:val="24"/>
          <w:szCs w:val="24"/>
        </w:rPr>
        <w:t>[</w:t>
      </w:r>
      <w:r w:rsidRPr="00655860">
        <w:rPr>
          <w:rFonts w:asciiTheme="minorHAnsi" w:eastAsia="SimSun" w:hAnsiTheme="minorHAnsi" w:cstheme="minorHAnsi"/>
          <w:b w:val="0"/>
          <w:bCs/>
          <w:sz w:val="24"/>
          <w:szCs w:val="24"/>
        </w:rPr>
        <w:t>●</w:t>
      </w:r>
      <w:r w:rsidRPr="00655860">
        <w:rPr>
          <w:rFonts w:asciiTheme="minorHAnsi" w:hAnsiTheme="minorHAnsi" w:cstheme="minorHAnsi"/>
          <w:b w:val="0"/>
          <w:bCs/>
          <w:sz w:val="24"/>
          <w:szCs w:val="24"/>
        </w:rPr>
        <w:t>]</w:t>
      </w:r>
      <w:r w:rsidRPr="00655860">
        <w:rPr>
          <w:rFonts w:asciiTheme="minorHAnsi" w:eastAsia="PMingLiU" w:hAnsiTheme="minorHAnsi" w:cstheme="minorHAnsi"/>
          <w:b w:val="0"/>
          <w:sz w:val="24"/>
          <w:szCs w:val="24"/>
          <w:lang w:eastAsia="zh-TW"/>
        </w:rPr>
        <w:t>,</w:t>
      </w:r>
    </w:p>
    <w:p w14:paraId="28EA28EF" w14:textId="77777777" w:rsidR="00E20DBD" w:rsidRPr="00655860" w:rsidRDefault="00C8140D" w:rsidP="003A450F">
      <w:pPr>
        <w:spacing w:before="120" w:after="120"/>
        <w:jc w:val="both"/>
        <w:rPr>
          <w:rFonts w:asciiTheme="minorHAnsi" w:hAnsiTheme="minorHAnsi" w:cstheme="minorHAnsi"/>
        </w:rPr>
      </w:pPr>
      <w:r w:rsidRPr="00655860">
        <w:rPr>
          <w:rFonts w:asciiTheme="minorHAnsi" w:eastAsia="PMingLiU" w:hAnsiTheme="minorHAnsi" w:cstheme="minorHAnsi"/>
          <w:lang w:eastAsia="zh-TW"/>
        </w:rPr>
        <w:t>dated</w:t>
      </w:r>
      <w:r w:rsidRPr="00655860">
        <w:rPr>
          <w:rFonts w:asciiTheme="minorHAnsi" w:eastAsia="PMingLiU" w:hAnsiTheme="minorHAnsi" w:cstheme="minorHAnsi"/>
          <w:b/>
          <w:lang w:eastAsia="zh-TW"/>
        </w:rPr>
        <w:t xml:space="preserve"> </w:t>
      </w:r>
      <w:r w:rsidRPr="00655860">
        <w:rPr>
          <w:rFonts w:asciiTheme="minorHAnsi" w:hAnsiTheme="minorHAnsi" w:cstheme="minorHAnsi"/>
          <w:bCs/>
        </w:rPr>
        <w:t>[</w:t>
      </w:r>
      <w:r w:rsidRPr="00655860">
        <w:rPr>
          <w:rFonts w:asciiTheme="minorHAnsi" w:eastAsia="SimSun" w:hAnsiTheme="minorHAnsi" w:cstheme="minorHAnsi"/>
          <w:bCs/>
        </w:rPr>
        <w:t>●</w:t>
      </w:r>
      <w:r w:rsidRPr="00655860">
        <w:rPr>
          <w:rFonts w:asciiTheme="minorHAnsi" w:hAnsiTheme="minorHAnsi" w:cstheme="minorHAnsi"/>
          <w:bCs/>
        </w:rPr>
        <w:t>]</w:t>
      </w:r>
      <w:r w:rsidRPr="00655860">
        <w:rPr>
          <w:rFonts w:asciiTheme="minorHAnsi" w:hAnsiTheme="minorHAnsi" w:cstheme="minorHAnsi"/>
        </w:rPr>
        <w:t xml:space="preserve"> (as amended and supplement by the Parties from time to time (the “</w:t>
      </w:r>
      <w:r w:rsidRPr="00655860">
        <w:rPr>
          <w:rFonts w:asciiTheme="minorHAnsi" w:hAnsiTheme="minorHAnsi" w:cstheme="minorHAnsi"/>
          <w:b/>
        </w:rPr>
        <w:t>Agreement</w:t>
      </w:r>
      <w:r w:rsidRPr="00655860">
        <w:rPr>
          <w:rFonts w:asciiTheme="minorHAnsi" w:hAnsiTheme="minorHAnsi" w:cstheme="minorHAnsi"/>
        </w:rPr>
        <w:t xml:space="preserve">”). This Addendum shall apply, in addition to the terms of the Agreement, to all securities borrowing and lending transactions in respect of Malaysian Securities under the </w:t>
      </w:r>
      <w:r w:rsidRPr="00655860">
        <w:rPr>
          <w:rFonts w:asciiTheme="minorHAnsi" w:hAnsiTheme="minorHAnsi" w:cstheme="minorHAnsi"/>
          <w:bCs/>
          <w:bdr w:val="none" w:sz="0" w:space="0" w:color="auto" w:frame="1"/>
        </w:rPr>
        <w:t>SBLNT (as defined below)</w:t>
      </w:r>
      <w:r w:rsidRPr="00655860">
        <w:rPr>
          <w:rFonts w:asciiTheme="minorHAnsi" w:hAnsiTheme="minorHAnsi" w:cstheme="minorHAnsi"/>
          <w:bdr w:val="none" w:sz="0" w:space="0" w:color="auto" w:frame="1"/>
        </w:rPr>
        <w:t xml:space="preserve"> model</w:t>
      </w:r>
      <w:r w:rsidRPr="00655860">
        <w:rPr>
          <w:rFonts w:asciiTheme="minorHAnsi" w:hAnsiTheme="minorHAnsi" w:cstheme="minorHAnsi"/>
        </w:rPr>
        <w:t>.</w:t>
      </w:r>
    </w:p>
    <w:p w14:paraId="3A313164" w14:textId="77777777" w:rsidR="00EF1A8D" w:rsidRPr="00655860" w:rsidRDefault="00C8140D" w:rsidP="00EF1A8D">
      <w:pPr>
        <w:numPr>
          <w:ilvl w:val="0"/>
          <w:numId w:val="15"/>
        </w:numPr>
        <w:spacing w:before="360" w:after="120"/>
        <w:ind w:hanging="720"/>
        <w:jc w:val="both"/>
        <w:rPr>
          <w:rFonts w:asciiTheme="minorHAnsi" w:hAnsiTheme="minorHAnsi" w:cstheme="minorHAnsi"/>
          <w:b/>
        </w:rPr>
      </w:pPr>
      <w:r w:rsidRPr="00655860">
        <w:rPr>
          <w:rFonts w:asciiTheme="minorHAnsi" w:hAnsiTheme="minorHAnsi" w:cstheme="minorHAnsi"/>
          <w:b/>
        </w:rPr>
        <w:t>INTERPRETATION</w:t>
      </w:r>
    </w:p>
    <w:p w14:paraId="0C4097A2" w14:textId="77777777" w:rsidR="00EF1A8D" w:rsidRPr="00655860" w:rsidRDefault="00C8140D" w:rsidP="00CB77BF">
      <w:pPr>
        <w:numPr>
          <w:ilvl w:val="1"/>
          <w:numId w:val="15"/>
        </w:numPr>
        <w:spacing w:before="120" w:after="120"/>
        <w:ind w:hanging="720"/>
        <w:jc w:val="both"/>
        <w:rPr>
          <w:rFonts w:asciiTheme="minorHAnsi" w:hAnsiTheme="minorHAnsi" w:cstheme="minorHAnsi"/>
        </w:rPr>
      </w:pPr>
      <w:r w:rsidRPr="00655860">
        <w:rPr>
          <w:rFonts w:asciiTheme="minorHAnsi" w:hAnsiTheme="minorHAnsi" w:cstheme="minorHAnsi"/>
        </w:rPr>
        <w:t>Terms not otherwise defined in this Addendum shall have the meaning given to them in the Agreement. The following terms where used in this Addendum shall have the following meanings:</w:t>
      </w:r>
    </w:p>
    <w:tbl>
      <w:tblPr>
        <w:tblW w:w="8176" w:type="dxa"/>
        <w:tblInd w:w="828" w:type="dxa"/>
        <w:tblLook w:val="0000" w:firstRow="0" w:lastRow="0" w:firstColumn="0" w:lastColumn="0" w:noHBand="0" w:noVBand="0"/>
      </w:tblPr>
      <w:tblGrid>
        <w:gridCol w:w="2502"/>
        <w:gridCol w:w="5674"/>
      </w:tblGrid>
      <w:tr w:rsidR="008644C6" w:rsidRPr="00655860" w14:paraId="1772C437" w14:textId="77777777" w:rsidTr="00CB77BF">
        <w:trPr>
          <w:trHeight w:val="432"/>
        </w:trPr>
        <w:tc>
          <w:tcPr>
            <w:tcW w:w="2502" w:type="dxa"/>
          </w:tcPr>
          <w:p w14:paraId="2505CE36" w14:textId="77777777" w:rsidR="00EF1A8D" w:rsidRPr="00655860" w:rsidRDefault="00C8140D" w:rsidP="00A130DA">
            <w:pPr>
              <w:spacing w:before="120" w:after="120"/>
              <w:jc w:val="both"/>
              <w:rPr>
                <w:rFonts w:asciiTheme="minorHAnsi" w:hAnsiTheme="minorHAnsi" w:cstheme="minorHAnsi"/>
              </w:rPr>
            </w:pPr>
            <w:r w:rsidRPr="00655860">
              <w:rPr>
                <w:rFonts w:asciiTheme="minorHAnsi" w:hAnsiTheme="minorHAnsi" w:cstheme="minorHAnsi"/>
              </w:rPr>
              <w:t>“</w:t>
            </w:r>
            <w:r w:rsidRPr="00655860">
              <w:rPr>
                <w:rFonts w:asciiTheme="minorHAnsi" w:hAnsiTheme="minorHAnsi" w:cstheme="minorHAnsi"/>
                <w:b/>
              </w:rPr>
              <w:t>Act</w:t>
            </w:r>
            <w:r w:rsidRPr="00655860">
              <w:rPr>
                <w:rFonts w:asciiTheme="minorHAnsi" w:hAnsiTheme="minorHAnsi" w:cstheme="minorHAnsi"/>
              </w:rPr>
              <w:t>”</w:t>
            </w:r>
          </w:p>
        </w:tc>
        <w:tc>
          <w:tcPr>
            <w:tcW w:w="5674" w:type="dxa"/>
          </w:tcPr>
          <w:p w14:paraId="6AC4B579" w14:textId="77777777" w:rsidR="00EF1A8D" w:rsidRPr="00655860" w:rsidRDefault="00C8140D" w:rsidP="006E125C">
            <w:pPr>
              <w:spacing w:before="120" w:after="120"/>
              <w:jc w:val="both"/>
              <w:rPr>
                <w:rFonts w:asciiTheme="minorHAnsi" w:hAnsiTheme="minorHAnsi" w:cstheme="minorHAnsi"/>
              </w:rPr>
            </w:pPr>
            <w:r w:rsidRPr="00655860">
              <w:rPr>
                <w:rFonts w:asciiTheme="minorHAnsi" w:hAnsiTheme="minorHAnsi" w:cstheme="minorHAnsi"/>
                <w:bCs/>
              </w:rPr>
              <w:t>means the Capital Markets and Services Act 2007.</w:t>
            </w:r>
          </w:p>
        </w:tc>
      </w:tr>
      <w:tr w:rsidR="008644C6" w:rsidRPr="00655860" w14:paraId="61914FA8" w14:textId="77777777" w:rsidTr="00CB77BF">
        <w:trPr>
          <w:trHeight w:val="375"/>
        </w:trPr>
        <w:tc>
          <w:tcPr>
            <w:tcW w:w="2502" w:type="dxa"/>
          </w:tcPr>
          <w:p w14:paraId="28DE42FB" w14:textId="77777777" w:rsidR="00EF1A8D" w:rsidRPr="00655860" w:rsidRDefault="00C8140D" w:rsidP="00EF1A8D">
            <w:pPr>
              <w:spacing w:before="120" w:after="120"/>
              <w:jc w:val="both"/>
              <w:rPr>
                <w:rFonts w:asciiTheme="minorHAnsi" w:hAnsiTheme="minorHAnsi" w:cstheme="minorHAnsi"/>
                <w:bCs/>
              </w:rPr>
            </w:pPr>
            <w:r w:rsidRPr="00655860">
              <w:rPr>
                <w:rFonts w:asciiTheme="minorHAnsi" w:hAnsiTheme="minorHAnsi" w:cstheme="minorHAnsi"/>
                <w:bCs/>
              </w:rPr>
              <w:t>“</w:t>
            </w:r>
            <w:r w:rsidRPr="00655860">
              <w:rPr>
                <w:rFonts w:asciiTheme="minorHAnsi" w:hAnsiTheme="minorHAnsi" w:cstheme="minorHAnsi"/>
                <w:b/>
                <w:bCs/>
              </w:rPr>
              <w:t>Approved SBLNT Borrower</w:t>
            </w:r>
            <w:r w:rsidRPr="00655860">
              <w:rPr>
                <w:rFonts w:asciiTheme="minorHAnsi" w:hAnsiTheme="minorHAnsi" w:cstheme="minorHAnsi"/>
                <w:bCs/>
              </w:rPr>
              <w:t>”</w:t>
            </w:r>
          </w:p>
        </w:tc>
        <w:tc>
          <w:tcPr>
            <w:tcW w:w="5674" w:type="dxa"/>
          </w:tcPr>
          <w:p w14:paraId="71BC5838" w14:textId="77777777" w:rsidR="00EF1A8D" w:rsidRPr="00655860" w:rsidRDefault="00C8140D" w:rsidP="00A130DA">
            <w:pPr>
              <w:spacing w:before="120" w:after="120"/>
              <w:jc w:val="both"/>
              <w:rPr>
                <w:rFonts w:asciiTheme="minorHAnsi" w:hAnsiTheme="minorHAnsi" w:cstheme="minorHAnsi"/>
                <w:bCs/>
              </w:rPr>
            </w:pPr>
            <w:r w:rsidRPr="00655860">
              <w:rPr>
                <w:rFonts w:asciiTheme="minorHAnsi" w:hAnsiTheme="minorHAnsi" w:cstheme="minorHAnsi"/>
                <w:bCs/>
              </w:rPr>
              <w:t>has the meaning ascribed thereto in the Clearing House Rules.</w:t>
            </w:r>
          </w:p>
        </w:tc>
      </w:tr>
      <w:tr w:rsidR="008644C6" w:rsidRPr="00655860" w14:paraId="5CB5F159" w14:textId="77777777" w:rsidTr="00CB77BF">
        <w:trPr>
          <w:trHeight w:val="229"/>
        </w:trPr>
        <w:tc>
          <w:tcPr>
            <w:tcW w:w="2502" w:type="dxa"/>
          </w:tcPr>
          <w:p w14:paraId="1EA9CEDA" w14:textId="77777777" w:rsidR="00EF1A8D" w:rsidRPr="00655860" w:rsidRDefault="00C8140D" w:rsidP="00CB77BF">
            <w:pPr>
              <w:spacing w:before="120" w:after="120"/>
              <w:jc w:val="both"/>
              <w:rPr>
                <w:rFonts w:asciiTheme="minorHAnsi" w:hAnsiTheme="minorHAnsi" w:cstheme="minorHAnsi"/>
                <w:bCs/>
              </w:rPr>
            </w:pPr>
            <w:r w:rsidRPr="00655860">
              <w:rPr>
                <w:rFonts w:asciiTheme="minorHAnsi" w:hAnsiTheme="minorHAnsi" w:cstheme="minorHAnsi"/>
                <w:bCs/>
              </w:rPr>
              <w:t>“</w:t>
            </w:r>
            <w:r w:rsidRPr="00655860">
              <w:rPr>
                <w:rFonts w:asciiTheme="minorHAnsi" w:hAnsiTheme="minorHAnsi" w:cstheme="minorHAnsi"/>
                <w:b/>
                <w:bCs/>
              </w:rPr>
              <w:t>Approved SBLNT Lender</w:t>
            </w:r>
            <w:r w:rsidRPr="00655860">
              <w:rPr>
                <w:rFonts w:asciiTheme="minorHAnsi" w:hAnsiTheme="minorHAnsi" w:cstheme="minorHAnsi"/>
                <w:bCs/>
              </w:rPr>
              <w:t>”</w:t>
            </w:r>
          </w:p>
        </w:tc>
        <w:tc>
          <w:tcPr>
            <w:tcW w:w="5674" w:type="dxa"/>
          </w:tcPr>
          <w:p w14:paraId="73714D78" w14:textId="77777777" w:rsidR="00EF1A8D" w:rsidRPr="00655860" w:rsidRDefault="00C8140D" w:rsidP="00A130DA">
            <w:pPr>
              <w:spacing w:before="120" w:after="120"/>
              <w:jc w:val="both"/>
              <w:rPr>
                <w:rFonts w:asciiTheme="minorHAnsi" w:hAnsiTheme="minorHAnsi" w:cstheme="minorHAnsi"/>
                <w:bCs/>
              </w:rPr>
            </w:pPr>
            <w:r w:rsidRPr="00655860">
              <w:rPr>
                <w:rFonts w:asciiTheme="minorHAnsi" w:hAnsiTheme="minorHAnsi" w:cstheme="minorHAnsi"/>
                <w:bCs/>
              </w:rPr>
              <w:t>has the meaning ascribed thereto in the Clearing House Rules.</w:t>
            </w:r>
          </w:p>
        </w:tc>
      </w:tr>
      <w:tr w:rsidR="008644C6" w:rsidRPr="00655860" w14:paraId="77AE6425" w14:textId="77777777" w:rsidTr="00CB77BF">
        <w:tc>
          <w:tcPr>
            <w:tcW w:w="2502" w:type="dxa"/>
          </w:tcPr>
          <w:p w14:paraId="4AF8CDCE" w14:textId="77777777" w:rsidR="00EF1A8D" w:rsidRPr="00655860" w:rsidRDefault="00C8140D" w:rsidP="00EF1A8D">
            <w:pPr>
              <w:spacing w:before="120" w:after="120"/>
              <w:jc w:val="both"/>
              <w:rPr>
                <w:rFonts w:asciiTheme="minorHAnsi" w:hAnsiTheme="minorHAnsi" w:cstheme="minorHAnsi"/>
              </w:rPr>
            </w:pPr>
            <w:r w:rsidRPr="00655860">
              <w:rPr>
                <w:rFonts w:asciiTheme="minorHAnsi" w:hAnsiTheme="minorHAnsi" w:cstheme="minorHAnsi"/>
                <w:bCs/>
              </w:rPr>
              <w:t>“</w:t>
            </w:r>
            <w:r w:rsidRPr="00655860">
              <w:rPr>
                <w:rFonts w:asciiTheme="minorHAnsi" w:hAnsiTheme="minorHAnsi" w:cstheme="minorHAnsi"/>
                <w:b/>
                <w:bCs/>
              </w:rPr>
              <w:t>Borrowing Representative</w:t>
            </w:r>
            <w:r w:rsidRPr="00655860">
              <w:rPr>
                <w:rFonts w:asciiTheme="minorHAnsi" w:hAnsiTheme="minorHAnsi" w:cstheme="minorHAnsi"/>
                <w:bCs/>
              </w:rPr>
              <w:t>”</w:t>
            </w:r>
          </w:p>
        </w:tc>
        <w:tc>
          <w:tcPr>
            <w:tcW w:w="5674" w:type="dxa"/>
          </w:tcPr>
          <w:p w14:paraId="45FC35F2" w14:textId="77777777" w:rsidR="00EF1A8D" w:rsidRPr="00655860" w:rsidRDefault="00C8140D" w:rsidP="00A130DA">
            <w:pPr>
              <w:spacing w:before="120" w:after="120"/>
              <w:jc w:val="both"/>
              <w:rPr>
                <w:rFonts w:asciiTheme="minorHAnsi" w:hAnsiTheme="minorHAnsi" w:cstheme="minorHAnsi"/>
              </w:rPr>
            </w:pPr>
            <w:r w:rsidRPr="00655860">
              <w:rPr>
                <w:rFonts w:asciiTheme="minorHAnsi" w:hAnsiTheme="minorHAnsi" w:cstheme="minorHAnsi"/>
              </w:rPr>
              <w:t xml:space="preserve">has the meaning ascribed to it in the </w:t>
            </w:r>
            <w:r w:rsidRPr="00655860">
              <w:rPr>
                <w:rFonts w:asciiTheme="minorHAnsi" w:hAnsiTheme="minorHAnsi" w:cstheme="minorHAnsi"/>
                <w:bCs/>
              </w:rPr>
              <w:t>Clearing House Rules.</w:t>
            </w:r>
          </w:p>
        </w:tc>
      </w:tr>
      <w:tr w:rsidR="008644C6" w:rsidRPr="00655860" w14:paraId="792B2BC8" w14:textId="77777777" w:rsidTr="00CB77BF">
        <w:tc>
          <w:tcPr>
            <w:tcW w:w="2502" w:type="dxa"/>
          </w:tcPr>
          <w:p w14:paraId="7844DA78" w14:textId="77777777" w:rsidR="006E125C" w:rsidRPr="00655860" w:rsidRDefault="00C8140D" w:rsidP="006E125C">
            <w:pPr>
              <w:spacing w:before="120" w:after="120"/>
              <w:jc w:val="both"/>
              <w:rPr>
                <w:rFonts w:asciiTheme="minorHAnsi" w:hAnsiTheme="minorHAnsi" w:cstheme="minorHAnsi"/>
                <w:bCs/>
              </w:rPr>
            </w:pPr>
            <w:r w:rsidRPr="00655860">
              <w:rPr>
                <w:rFonts w:asciiTheme="minorHAnsi" w:hAnsiTheme="minorHAnsi" w:cstheme="minorHAnsi"/>
                <w:bCs/>
              </w:rPr>
              <w:t>“</w:t>
            </w:r>
            <w:r w:rsidRPr="00655860">
              <w:rPr>
                <w:rFonts w:asciiTheme="minorHAnsi" w:hAnsiTheme="minorHAnsi" w:cstheme="minorHAnsi"/>
                <w:b/>
                <w:bCs/>
              </w:rPr>
              <w:t>Malaysian Business Day</w:t>
            </w:r>
            <w:r w:rsidRPr="00655860">
              <w:rPr>
                <w:rFonts w:asciiTheme="minorHAnsi" w:hAnsiTheme="minorHAnsi" w:cstheme="minorHAnsi"/>
                <w:bCs/>
              </w:rPr>
              <w:t>”</w:t>
            </w:r>
          </w:p>
        </w:tc>
        <w:tc>
          <w:tcPr>
            <w:tcW w:w="5674" w:type="dxa"/>
          </w:tcPr>
          <w:p w14:paraId="047E37B1" w14:textId="77777777" w:rsidR="006E125C" w:rsidRPr="00655860" w:rsidRDefault="00C8140D" w:rsidP="006E125C">
            <w:pPr>
              <w:spacing w:before="120" w:after="120"/>
              <w:jc w:val="both"/>
              <w:rPr>
                <w:rFonts w:asciiTheme="minorHAnsi" w:hAnsiTheme="minorHAnsi" w:cstheme="minorHAnsi"/>
              </w:rPr>
            </w:pPr>
            <w:r w:rsidRPr="00655860">
              <w:rPr>
                <w:rFonts w:asciiTheme="minorHAnsi" w:hAnsiTheme="minorHAnsi" w:cstheme="minorHAnsi"/>
              </w:rPr>
              <w:t>means any day of the week (excluding Saturdays, Sundays and public holiday) on which commercial banks in Malaysia, the Clearing House, the Malaysian Stock Exchange and the Central Depositary are open for business.</w:t>
            </w:r>
          </w:p>
        </w:tc>
      </w:tr>
      <w:tr w:rsidR="008644C6" w:rsidRPr="00655860" w14:paraId="3D85E2E6" w14:textId="77777777" w:rsidTr="00CB77BF">
        <w:tc>
          <w:tcPr>
            <w:tcW w:w="2502" w:type="dxa"/>
          </w:tcPr>
          <w:p w14:paraId="083B977D" w14:textId="77777777" w:rsidR="006E125C" w:rsidRPr="00655860" w:rsidRDefault="00C8140D" w:rsidP="006E125C">
            <w:pPr>
              <w:spacing w:before="120" w:after="120"/>
              <w:jc w:val="both"/>
              <w:rPr>
                <w:rFonts w:asciiTheme="minorHAnsi" w:hAnsiTheme="minorHAnsi" w:cstheme="minorHAnsi"/>
              </w:rPr>
            </w:pPr>
            <w:r w:rsidRPr="00655860">
              <w:rPr>
                <w:rFonts w:asciiTheme="minorHAnsi" w:hAnsiTheme="minorHAnsi" w:cstheme="minorHAnsi"/>
              </w:rPr>
              <w:lastRenderedPageBreak/>
              <w:t>“</w:t>
            </w:r>
            <w:r w:rsidRPr="00655860">
              <w:rPr>
                <w:rFonts w:asciiTheme="minorHAnsi" w:hAnsiTheme="minorHAnsi" w:cstheme="minorHAnsi"/>
                <w:b/>
              </w:rPr>
              <w:t>Central Depository</w:t>
            </w:r>
            <w:r w:rsidRPr="00655860">
              <w:rPr>
                <w:rFonts w:asciiTheme="minorHAnsi" w:hAnsiTheme="minorHAnsi" w:cstheme="minorHAnsi"/>
              </w:rPr>
              <w:t>”</w:t>
            </w:r>
          </w:p>
        </w:tc>
        <w:tc>
          <w:tcPr>
            <w:tcW w:w="5674" w:type="dxa"/>
          </w:tcPr>
          <w:p w14:paraId="712F4563" w14:textId="77777777" w:rsidR="006E125C" w:rsidRPr="00655860" w:rsidRDefault="00C8140D" w:rsidP="006E125C">
            <w:pPr>
              <w:spacing w:before="120" w:after="120"/>
              <w:jc w:val="both"/>
              <w:rPr>
                <w:rFonts w:asciiTheme="minorHAnsi" w:hAnsiTheme="minorHAnsi" w:cstheme="minorHAnsi"/>
              </w:rPr>
            </w:pPr>
            <w:r w:rsidRPr="00655860">
              <w:rPr>
                <w:rFonts w:asciiTheme="minorHAnsi" w:hAnsiTheme="minorHAnsi" w:cstheme="minorHAnsi"/>
              </w:rPr>
              <w:t>has the same meaning ascribed to it in the Act.</w:t>
            </w:r>
          </w:p>
        </w:tc>
      </w:tr>
      <w:tr w:rsidR="008644C6" w:rsidRPr="00655860" w14:paraId="53644FAA" w14:textId="77777777" w:rsidTr="00CB77BF">
        <w:trPr>
          <w:trHeight w:val="827"/>
        </w:trPr>
        <w:tc>
          <w:tcPr>
            <w:tcW w:w="2502" w:type="dxa"/>
          </w:tcPr>
          <w:p w14:paraId="545E55D0" w14:textId="77777777" w:rsidR="006E125C" w:rsidRPr="00655860" w:rsidRDefault="00C8140D" w:rsidP="006E125C">
            <w:pPr>
              <w:spacing w:before="120" w:after="120"/>
              <w:jc w:val="both"/>
              <w:rPr>
                <w:rFonts w:asciiTheme="minorHAnsi" w:hAnsiTheme="minorHAnsi" w:cstheme="minorHAnsi"/>
                <w:bCs/>
              </w:rPr>
            </w:pPr>
            <w:r w:rsidRPr="00655860">
              <w:rPr>
                <w:rFonts w:asciiTheme="minorHAnsi" w:hAnsiTheme="minorHAnsi" w:cstheme="minorHAnsi"/>
              </w:rPr>
              <w:t>“</w:t>
            </w:r>
            <w:r w:rsidRPr="00655860">
              <w:rPr>
                <w:rFonts w:asciiTheme="minorHAnsi" w:hAnsiTheme="minorHAnsi" w:cstheme="minorHAnsi"/>
                <w:b/>
              </w:rPr>
              <w:t>Clearing House</w:t>
            </w:r>
            <w:r w:rsidRPr="00655860">
              <w:rPr>
                <w:rFonts w:asciiTheme="minorHAnsi" w:hAnsiTheme="minorHAnsi" w:cstheme="minorHAnsi"/>
              </w:rPr>
              <w:t>”</w:t>
            </w:r>
          </w:p>
        </w:tc>
        <w:tc>
          <w:tcPr>
            <w:tcW w:w="5674" w:type="dxa"/>
          </w:tcPr>
          <w:p w14:paraId="420EF89C" w14:textId="77777777" w:rsidR="006E125C" w:rsidRPr="00655860" w:rsidRDefault="00C8140D" w:rsidP="006E125C">
            <w:pPr>
              <w:spacing w:before="120" w:after="120"/>
              <w:jc w:val="both"/>
              <w:rPr>
                <w:rFonts w:asciiTheme="minorHAnsi" w:hAnsiTheme="minorHAnsi" w:cstheme="minorHAnsi"/>
              </w:rPr>
            </w:pPr>
            <w:r w:rsidRPr="00655860">
              <w:rPr>
                <w:rFonts w:asciiTheme="minorHAnsi" w:hAnsiTheme="minorHAnsi" w:cstheme="minorHAnsi"/>
              </w:rPr>
              <w:t>means Bursa Malaysia Securities Clearing Sdn Bhd and includes its successors in title as an approved clearing house under the Act for Malaysian Securities.</w:t>
            </w:r>
          </w:p>
        </w:tc>
      </w:tr>
      <w:tr w:rsidR="008644C6" w:rsidRPr="00655860" w14:paraId="003E4875" w14:textId="77777777" w:rsidTr="00CB77BF">
        <w:trPr>
          <w:trHeight w:val="521"/>
        </w:trPr>
        <w:tc>
          <w:tcPr>
            <w:tcW w:w="2502" w:type="dxa"/>
          </w:tcPr>
          <w:p w14:paraId="4A51022D" w14:textId="77777777" w:rsidR="006E125C" w:rsidRPr="00655860" w:rsidRDefault="00C8140D" w:rsidP="006E125C">
            <w:pPr>
              <w:spacing w:before="120" w:after="120"/>
              <w:jc w:val="both"/>
              <w:rPr>
                <w:rFonts w:asciiTheme="minorHAnsi" w:hAnsiTheme="minorHAnsi" w:cstheme="minorHAnsi"/>
                <w:bCs/>
              </w:rPr>
            </w:pPr>
            <w:r w:rsidRPr="00655860">
              <w:rPr>
                <w:rFonts w:asciiTheme="minorHAnsi" w:hAnsiTheme="minorHAnsi" w:cstheme="minorHAnsi"/>
                <w:bCs/>
              </w:rPr>
              <w:t>“</w:t>
            </w:r>
            <w:r w:rsidRPr="00655860">
              <w:rPr>
                <w:rFonts w:asciiTheme="minorHAnsi" w:hAnsiTheme="minorHAnsi" w:cstheme="minorHAnsi"/>
                <w:b/>
                <w:bCs/>
              </w:rPr>
              <w:t>Clearing House Rules</w:t>
            </w:r>
            <w:r w:rsidRPr="00655860">
              <w:rPr>
                <w:rFonts w:asciiTheme="minorHAnsi" w:hAnsiTheme="minorHAnsi" w:cstheme="minorHAnsi"/>
                <w:bCs/>
              </w:rPr>
              <w:t>”</w:t>
            </w:r>
          </w:p>
        </w:tc>
        <w:tc>
          <w:tcPr>
            <w:tcW w:w="5674" w:type="dxa"/>
          </w:tcPr>
          <w:p w14:paraId="20CD54E3" w14:textId="77777777" w:rsidR="006E125C" w:rsidRPr="00655860" w:rsidRDefault="00C8140D" w:rsidP="006E125C">
            <w:pPr>
              <w:spacing w:before="120" w:after="120"/>
              <w:jc w:val="both"/>
              <w:rPr>
                <w:rFonts w:asciiTheme="minorHAnsi" w:hAnsiTheme="minorHAnsi" w:cstheme="minorHAnsi"/>
              </w:rPr>
            </w:pPr>
            <w:r w:rsidRPr="00655860">
              <w:rPr>
                <w:rFonts w:asciiTheme="minorHAnsi" w:hAnsiTheme="minorHAnsi" w:cstheme="minorHAnsi"/>
              </w:rPr>
              <w:t>means the rules of the Clearing House.</w:t>
            </w:r>
          </w:p>
        </w:tc>
      </w:tr>
      <w:tr w:rsidR="008644C6" w:rsidRPr="00655860" w14:paraId="50A40F8E" w14:textId="77777777" w:rsidTr="00CB77BF">
        <w:tc>
          <w:tcPr>
            <w:tcW w:w="2502" w:type="dxa"/>
          </w:tcPr>
          <w:p w14:paraId="706E689F" w14:textId="77777777" w:rsidR="00EF1A8D" w:rsidRPr="00655860" w:rsidRDefault="00C8140D" w:rsidP="00F15D77">
            <w:pPr>
              <w:spacing w:before="120" w:after="120"/>
              <w:jc w:val="both"/>
              <w:rPr>
                <w:rFonts w:asciiTheme="minorHAnsi" w:hAnsiTheme="minorHAnsi" w:cstheme="minorHAnsi"/>
              </w:rPr>
            </w:pPr>
            <w:r w:rsidRPr="00655860">
              <w:rPr>
                <w:rFonts w:asciiTheme="minorHAnsi" w:hAnsiTheme="minorHAnsi" w:cstheme="minorHAnsi"/>
                <w:bCs/>
              </w:rPr>
              <w:t>“</w:t>
            </w:r>
            <w:r w:rsidRPr="00655860">
              <w:rPr>
                <w:rFonts w:asciiTheme="minorHAnsi" w:hAnsiTheme="minorHAnsi" w:cstheme="minorHAnsi"/>
                <w:b/>
                <w:bCs/>
              </w:rPr>
              <w:t>Lending</w:t>
            </w:r>
            <w:r w:rsidRPr="00655860">
              <w:rPr>
                <w:rFonts w:asciiTheme="minorHAnsi" w:hAnsiTheme="minorHAnsi" w:cstheme="minorHAnsi"/>
                <w:bCs/>
              </w:rPr>
              <w:t>”</w:t>
            </w:r>
            <w:r w:rsidRPr="00655860">
              <w:rPr>
                <w:rFonts w:asciiTheme="minorHAnsi" w:hAnsiTheme="minorHAnsi" w:cstheme="minorHAnsi"/>
                <w:b/>
                <w:bCs/>
              </w:rPr>
              <w:t xml:space="preserve"> Representative</w:t>
            </w:r>
          </w:p>
        </w:tc>
        <w:tc>
          <w:tcPr>
            <w:tcW w:w="5674" w:type="dxa"/>
          </w:tcPr>
          <w:p w14:paraId="56B09DD6" w14:textId="77777777" w:rsidR="00EF1A8D" w:rsidRPr="00655860" w:rsidRDefault="00C8140D" w:rsidP="00A130DA">
            <w:pPr>
              <w:spacing w:before="120" w:after="120"/>
              <w:jc w:val="both"/>
              <w:rPr>
                <w:rFonts w:asciiTheme="minorHAnsi" w:hAnsiTheme="minorHAnsi" w:cstheme="minorHAnsi"/>
              </w:rPr>
            </w:pPr>
            <w:r w:rsidRPr="00655860">
              <w:rPr>
                <w:rFonts w:asciiTheme="minorHAnsi" w:hAnsiTheme="minorHAnsi" w:cstheme="minorHAnsi"/>
              </w:rPr>
              <w:t xml:space="preserve">has the meaning ascribed to it in the </w:t>
            </w:r>
            <w:r w:rsidRPr="00655860">
              <w:rPr>
                <w:rFonts w:asciiTheme="minorHAnsi" w:hAnsiTheme="minorHAnsi" w:cstheme="minorHAnsi"/>
                <w:bCs/>
              </w:rPr>
              <w:t>Clearing House Rules.</w:t>
            </w:r>
          </w:p>
        </w:tc>
      </w:tr>
      <w:tr w:rsidR="008644C6" w:rsidRPr="00655860" w14:paraId="36953382" w14:textId="77777777" w:rsidTr="00CB77BF">
        <w:tc>
          <w:tcPr>
            <w:tcW w:w="2502" w:type="dxa"/>
          </w:tcPr>
          <w:p w14:paraId="40F59B3E" w14:textId="77777777" w:rsidR="00EF1A8D" w:rsidRPr="00655860" w:rsidRDefault="00C8140D" w:rsidP="00A130DA">
            <w:pPr>
              <w:spacing w:before="120" w:after="120"/>
              <w:jc w:val="both"/>
              <w:rPr>
                <w:rFonts w:asciiTheme="minorHAnsi" w:hAnsiTheme="minorHAnsi" w:cstheme="minorHAnsi"/>
              </w:rPr>
            </w:pPr>
            <w:r w:rsidRPr="00655860">
              <w:rPr>
                <w:rFonts w:asciiTheme="minorHAnsi" w:hAnsiTheme="minorHAnsi" w:cstheme="minorHAnsi"/>
              </w:rPr>
              <w:t>“</w:t>
            </w:r>
            <w:r w:rsidRPr="00655860">
              <w:rPr>
                <w:rFonts w:asciiTheme="minorHAnsi" w:hAnsiTheme="minorHAnsi" w:cstheme="minorHAnsi"/>
                <w:b/>
              </w:rPr>
              <w:t>Malaysian</w:t>
            </w:r>
            <w:r w:rsidRPr="00655860">
              <w:rPr>
                <w:rFonts w:asciiTheme="minorHAnsi" w:hAnsiTheme="minorHAnsi" w:cstheme="minorHAnsi"/>
              </w:rPr>
              <w:t xml:space="preserve"> </w:t>
            </w:r>
            <w:r w:rsidRPr="00655860">
              <w:rPr>
                <w:rFonts w:asciiTheme="minorHAnsi" w:hAnsiTheme="minorHAnsi" w:cstheme="minorHAnsi"/>
                <w:b/>
              </w:rPr>
              <w:t>Loan</w:t>
            </w:r>
            <w:r w:rsidRPr="00655860">
              <w:rPr>
                <w:rFonts w:asciiTheme="minorHAnsi" w:hAnsiTheme="minorHAnsi" w:cstheme="minorHAnsi"/>
              </w:rPr>
              <w:t>”</w:t>
            </w:r>
          </w:p>
        </w:tc>
        <w:tc>
          <w:tcPr>
            <w:tcW w:w="5674" w:type="dxa"/>
          </w:tcPr>
          <w:p w14:paraId="29517F81" w14:textId="77777777" w:rsidR="00EF1A8D" w:rsidRPr="00655860" w:rsidRDefault="00C8140D" w:rsidP="00A130DA">
            <w:pPr>
              <w:spacing w:before="120" w:after="120"/>
              <w:jc w:val="both"/>
              <w:rPr>
                <w:rFonts w:asciiTheme="minorHAnsi" w:hAnsiTheme="minorHAnsi" w:cstheme="minorHAnsi"/>
              </w:rPr>
            </w:pPr>
            <w:r w:rsidRPr="00655860">
              <w:rPr>
                <w:rFonts w:asciiTheme="minorHAnsi" w:hAnsiTheme="minorHAnsi" w:cstheme="minorHAnsi"/>
              </w:rPr>
              <w:t>means a Loan of Malaysian Securities as an SBLNT pursuant to this Addendum.</w:t>
            </w:r>
          </w:p>
        </w:tc>
      </w:tr>
      <w:tr w:rsidR="008644C6" w:rsidRPr="00655860" w14:paraId="25263267" w14:textId="77777777" w:rsidTr="00CB77BF">
        <w:tc>
          <w:tcPr>
            <w:tcW w:w="2502" w:type="dxa"/>
          </w:tcPr>
          <w:p w14:paraId="14E5CC2F" w14:textId="77777777" w:rsidR="00EF1A8D" w:rsidRPr="00655860" w:rsidRDefault="00C8140D" w:rsidP="00F15D77">
            <w:pPr>
              <w:spacing w:before="120" w:after="120"/>
              <w:jc w:val="both"/>
              <w:rPr>
                <w:rFonts w:asciiTheme="minorHAnsi" w:hAnsiTheme="minorHAnsi" w:cstheme="minorHAnsi"/>
              </w:rPr>
            </w:pPr>
            <w:r w:rsidRPr="00655860">
              <w:rPr>
                <w:rFonts w:asciiTheme="minorHAnsi" w:hAnsiTheme="minorHAnsi" w:cstheme="minorHAnsi"/>
                <w:bCs/>
              </w:rPr>
              <w:t>"</w:t>
            </w:r>
            <w:r w:rsidRPr="00655860">
              <w:rPr>
                <w:rFonts w:asciiTheme="minorHAnsi" w:hAnsiTheme="minorHAnsi" w:cstheme="minorHAnsi"/>
                <w:b/>
                <w:bCs/>
              </w:rPr>
              <w:t>Malaysian Securities</w:t>
            </w:r>
            <w:r w:rsidRPr="00655860">
              <w:rPr>
                <w:rFonts w:asciiTheme="minorHAnsi" w:hAnsiTheme="minorHAnsi" w:cstheme="minorHAnsi"/>
                <w:bCs/>
              </w:rPr>
              <w:t>”</w:t>
            </w:r>
          </w:p>
        </w:tc>
        <w:tc>
          <w:tcPr>
            <w:tcW w:w="5674" w:type="dxa"/>
          </w:tcPr>
          <w:p w14:paraId="4ED6E544" w14:textId="77777777" w:rsidR="00EF1A8D" w:rsidRPr="00655860" w:rsidRDefault="00C8140D" w:rsidP="00A130DA">
            <w:pPr>
              <w:spacing w:before="120" w:after="120"/>
              <w:jc w:val="both"/>
              <w:rPr>
                <w:rFonts w:asciiTheme="minorHAnsi" w:hAnsiTheme="minorHAnsi" w:cstheme="minorHAnsi"/>
              </w:rPr>
            </w:pPr>
            <w:r w:rsidRPr="00655860">
              <w:rPr>
                <w:rFonts w:asciiTheme="minorHAnsi" w:hAnsiTheme="minorHAnsi" w:cstheme="minorHAnsi"/>
              </w:rPr>
              <w:t>means Securities that are listed and quoted for trading on the Malaysian Stock Exchange and prescribed by the Clearing House in the SBL Circulars from time to time as approved for Loan.</w:t>
            </w:r>
          </w:p>
        </w:tc>
      </w:tr>
      <w:tr w:rsidR="008644C6" w:rsidRPr="00655860" w14:paraId="73A3C493" w14:textId="77777777" w:rsidTr="00CB77BF">
        <w:tc>
          <w:tcPr>
            <w:tcW w:w="2502" w:type="dxa"/>
          </w:tcPr>
          <w:p w14:paraId="456864F2" w14:textId="77777777" w:rsidR="00EF1A8D" w:rsidRPr="00655860" w:rsidRDefault="00C8140D" w:rsidP="00F15D77">
            <w:pPr>
              <w:spacing w:before="120" w:after="120"/>
              <w:jc w:val="both"/>
              <w:rPr>
                <w:rFonts w:asciiTheme="minorHAnsi" w:hAnsiTheme="minorHAnsi" w:cstheme="minorHAnsi"/>
              </w:rPr>
            </w:pPr>
            <w:r w:rsidRPr="00655860">
              <w:rPr>
                <w:rFonts w:asciiTheme="minorHAnsi" w:hAnsiTheme="minorHAnsi" w:cstheme="minorHAnsi"/>
              </w:rPr>
              <w:t>“</w:t>
            </w:r>
            <w:r w:rsidRPr="00655860">
              <w:rPr>
                <w:rFonts w:asciiTheme="minorHAnsi" w:hAnsiTheme="minorHAnsi" w:cstheme="minorHAnsi"/>
                <w:b/>
              </w:rPr>
              <w:t>Malaysian Stock Exchange</w:t>
            </w:r>
            <w:r w:rsidRPr="00655860">
              <w:rPr>
                <w:rFonts w:asciiTheme="minorHAnsi" w:hAnsiTheme="minorHAnsi" w:cstheme="minorHAnsi"/>
              </w:rPr>
              <w:t>”</w:t>
            </w:r>
          </w:p>
        </w:tc>
        <w:tc>
          <w:tcPr>
            <w:tcW w:w="5674" w:type="dxa"/>
          </w:tcPr>
          <w:p w14:paraId="50F57559" w14:textId="77777777" w:rsidR="00EF1A8D" w:rsidRPr="00655860" w:rsidRDefault="00C8140D" w:rsidP="00A130DA">
            <w:pPr>
              <w:spacing w:before="120" w:after="120"/>
              <w:jc w:val="both"/>
              <w:rPr>
                <w:rFonts w:asciiTheme="minorHAnsi" w:hAnsiTheme="minorHAnsi" w:cstheme="minorHAnsi"/>
              </w:rPr>
            </w:pPr>
            <w:r w:rsidRPr="00655860">
              <w:rPr>
                <w:rFonts w:asciiTheme="minorHAnsi" w:hAnsiTheme="minorHAnsi" w:cstheme="minorHAnsi"/>
              </w:rPr>
              <w:t>means the stock exchange of Bursa Malaysia Securities Berhad and includes its successor in title for so long as it is a stock exchange as defined in the Act.</w:t>
            </w:r>
          </w:p>
        </w:tc>
      </w:tr>
      <w:tr w:rsidR="008644C6" w:rsidRPr="00655860" w14:paraId="684615EB" w14:textId="77777777" w:rsidTr="00CB77BF">
        <w:tc>
          <w:tcPr>
            <w:tcW w:w="2502" w:type="dxa"/>
          </w:tcPr>
          <w:p w14:paraId="6CB93529" w14:textId="77777777" w:rsidR="00EF1A8D" w:rsidRPr="00655860" w:rsidRDefault="00C8140D" w:rsidP="00F15D77">
            <w:pPr>
              <w:spacing w:before="120" w:after="120"/>
              <w:jc w:val="both"/>
              <w:rPr>
                <w:rFonts w:asciiTheme="minorHAnsi" w:hAnsiTheme="minorHAnsi" w:cstheme="minorHAnsi"/>
                <w:bCs/>
              </w:rPr>
            </w:pPr>
            <w:r w:rsidRPr="00655860">
              <w:rPr>
                <w:rFonts w:asciiTheme="minorHAnsi" w:hAnsiTheme="minorHAnsi" w:cstheme="minorHAnsi"/>
                <w:bCs/>
              </w:rPr>
              <w:t>“</w:t>
            </w:r>
            <w:r w:rsidRPr="00655860">
              <w:rPr>
                <w:rFonts w:asciiTheme="minorHAnsi" w:hAnsiTheme="minorHAnsi" w:cstheme="minorHAnsi"/>
                <w:b/>
                <w:bCs/>
              </w:rPr>
              <w:t>Restrictions</w:t>
            </w:r>
            <w:r w:rsidRPr="00655860">
              <w:rPr>
                <w:rFonts w:asciiTheme="minorHAnsi" w:hAnsiTheme="minorHAnsi" w:cstheme="minorHAnsi"/>
                <w:bCs/>
              </w:rPr>
              <w:t>”</w:t>
            </w:r>
          </w:p>
        </w:tc>
        <w:tc>
          <w:tcPr>
            <w:tcW w:w="5674" w:type="dxa"/>
          </w:tcPr>
          <w:p w14:paraId="1839462E" w14:textId="77777777" w:rsidR="00EF1A8D" w:rsidRPr="00655860" w:rsidRDefault="00C8140D" w:rsidP="00A130DA">
            <w:pPr>
              <w:spacing w:before="120" w:after="120"/>
              <w:jc w:val="both"/>
              <w:rPr>
                <w:rFonts w:asciiTheme="minorHAnsi" w:hAnsiTheme="minorHAnsi" w:cstheme="minorHAnsi"/>
              </w:rPr>
            </w:pPr>
            <w:r w:rsidRPr="00655860">
              <w:rPr>
                <w:rFonts w:asciiTheme="minorHAnsi" w:hAnsiTheme="minorHAnsi" w:cstheme="minorHAnsi"/>
              </w:rPr>
              <w:t>means any limitation or qualification on the delivery, transfer, and ownership of the rights, titles and interests in the Securities and Collateral, including but not limited to liens, charges and encumbrances, which may be imposed by, or arising as a consequence of the exercise by, the Central Depository or any other local regulator of any power vested in it under any Malaysian law or regulation.</w:t>
            </w:r>
          </w:p>
        </w:tc>
      </w:tr>
      <w:tr w:rsidR="008644C6" w:rsidRPr="00655860" w14:paraId="228AA51F" w14:textId="77777777" w:rsidTr="00CB77BF">
        <w:tc>
          <w:tcPr>
            <w:tcW w:w="2502" w:type="dxa"/>
          </w:tcPr>
          <w:p w14:paraId="63C3D5F3" w14:textId="77777777" w:rsidR="00EF1A8D" w:rsidRPr="00655860" w:rsidRDefault="00C8140D" w:rsidP="00F15D77">
            <w:pPr>
              <w:spacing w:before="120" w:after="120"/>
              <w:jc w:val="both"/>
              <w:rPr>
                <w:rFonts w:asciiTheme="minorHAnsi" w:hAnsiTheme="minorHAnsi" w:cstheme="minorHAnsi"/>
              </w:rPr>
            </w:pPr>
            <w:r w:rsidRPr="00655860">
              <w:rPr>
                <w:rFonts w:asciiTheme="minorHAnsi" w:hAnsiTheme="minorHAnsi" w:cstheme="minorHAnsi"/>
                <w:bCs/>
              </w:rPr>
              <w:t>“</w:t>
            </w:r>
            <w:r w:rsidRPr="00655860">
              <w:rPr>
                <w:rFonts w:asciiTheme="minorHAnsi" w:hAnsiTheme="minorHAnsi" w:cstheme="minorHAnsi"/>
                <w:b/>
                <w:bCs/>
              </w:rPr>
              <w:t>SBL Circulars</w:t>
            </w:r>
            <w:r w:rsidRPr="00655860">
              <w:rPr>
                <w:rFonts w:asciiTheme="minorHAnsi" w:hAnsiTheme="minorHAnsi" w:cstheme="minorHAnsi"/>
                <w:bCs/>
              </w:rPr>
              <w:t>”</w:t>
            </w:r>
          </w:p>
        </w:tc>
        <w:tc>
          <w:tcPr>
            <w:tcW w:w="5674" w:type="dxa"/>
          </w:tcPr>
          <w:p w14:paraId="6AF3B599" w14:textId="77777777" w:rsidR="00EF1A8D" w:rsidRPr="00655860" w:rsidRDefault="00C8140D" w:rsidP="006E125C">
            <w:pPr>
              <w:spacing w:before="120" w:after="120"/>
              <w:jc w:val="both"/>
              <w:rPr>
                <w:rFonts w:asciiTheme="minorHAnsi" w:hAnsiTheme="minorHAnsi" w:cstheme="minorHAnsi"/>
              </w:rPr>
            </w:pPr>
            <w:r w:rsidRPr="00655860">
              <w:rPr>
                <w:rFonts w:asciiTheme="minorHAnsi" w:hAnsiTheme="minorHAnsi" w:cstheme="minorHAnsi"/>
              </w:rPr>
              <w:t xml:space="preserve">has the meaning ascribed to it in the </w:t>
            </w:r>
            <w:r w:rsidRPr="00655860">
              <w:rPr>
                <w:rFonts w:asciiTheme="minorHAnsi" w:hAnsiTheme="minorHAnsi" w:cstheme="minorHAnsi"/>
                <w:bCs/>
              </w:rPr>
              <w:t>Clearing House Rules</w:t>
            </w:r>
            <w:r w:rsidRPr="00655860">
              <w:rPr>
                <w:rStyle w:val="FootnoteReference"/>
                <w:rFonts w:asciiTheme="minorHAnsi" w:hAnsiTheme="minorHAnsi" w:cstheme="minorHAnsi"/>
                <w:bCs/>
              </w:rPr>
              <w:footnoteReference w:id="1"/>
            </w:r>
            <w:r w:rsidRPr="00655860">
              <w:rPr>
                <w:rFonts w:asciiTheme="minorHAnsi" w:hAnsiTheme="minorHAnsi" w:cstheme="minorHAnsi"/>
                <w:bCs/>
              </w:rPr>
              <w:t>.</w:t>
            </w:r>
          </w:p>
        </w:tc>
      </w:tr>
      <w:tr w:rsidR="008644C6" w:rsidRPr="00655860" w14:paraId="0A331727" w14:textId="77777777" w:rsidTr="00CB77BF">
        <w:tc>
          <w:tcPr>
            <w:tcW w:w="2502" w:type="dxa"/>
          </w:tcPr>
          <w:p w14:paraId="3BED5786" w14:textId="77777777" w:rsidR="00EF1A8D" w:rsidRPr="00655860" w:rsidRDefault="00C8140D" w:rsidP="00F15D77">
            <w:pPr>
              <w:spacing w:before="120" w:after="120"/>
              <w:jc w:val="both"/>
              <w:rPr>
                <w:rFonts w:asciiTheme="minorHAnsi" w:hAnsiTheme="minorHAnsi" w:cstheme="minorHAnsi"/>
              </w:rPr>
            </w:pPr>
            <w:r w:rsidRPr="00655860">
              <w:rPr>
                <w:rFonts w:asciiTheme="minorHAnsi" w:hAnsiTheme="minorHAnsi" w:cstheme="minorHAnsi"/>
                <w:bCs/>
              </w:rPr>
              <w:t>“</w:t>
            </w:r>
            <w:r w:rsidRPr="00655860">
              <w:rPr>
                <w:rFonts w:asciiTheme="minorHAnsi" w:hAnsiTheme="minorHAnsi" w:cstheme="minorHAnsi"/>
                <w:b/>
                <w:bCs/>
              </w:rPr>
              <w:t>SBL Negotiated Transaction</w:t>
            </w:r>
            <w:r w:rsidRPr="00655860">
              <w:rPr>
                <w:rFonts w:asciiTheme="minorHAnsi" w:hAnsiTheme="minorHAnsi" w:cstheme="minorHAnsi"/>
                <w:bCs/>
              </w:rPr>
              <w:t>”</w:t>
            </w:r>
            <w:r w:rsidRPr="00655860">
              <w:rPr>
                <w:rFonts w:asciiTheme="minorHAnsi" w:hAnsiTheme="minorHAnsi" w:cstheme="minorHAnsi"/>
              </w:rPr>
              <w:t xml:space="preserve"> or “</w:t>
            </w:r>
            <w:r w:rsidRPr="00655860">
              <w:rPr>
                <w:rFonts w:asciiTheme="minorHAnsi" w:hAnsiTheme="minorHAnsi" w:cstheme="minorHAnsi"/>
                <w:b/>
                <w:bCs/>
              </w:rPr>
              <w:t>SBLNT</w:t>
            </w:r>
            <w:r w:rsidRPr="00655860">
              <w:rPr>
                <w:rFonts w:asciiTheme="minorHAnsi" w:hAnsiTheme="minorHAnsi" w:cstheme="minorHAnsi"/>
                <w:bCs/>
              </w:rPr>
              <w:t>”</w:t>
            </w:r>
          </w:p>
        </w:tc>
        <w:tc>
          <w:tcPr>
            <w:tcW w:w="5674" w:type="dxa"/>
          </w:tcPr>
          <w:p w14:paraId="1B43918A" w14:textId="77777777" w:rsidR="00EF1A8D" w:rsidRPr="00655860" w:rsidRDefault="00C8140D" w:rsidP="00A130DA">
            <w:pPr>
              <w:spacing w:before="120" w:after="120"/>
              <w:jc w:val="both"/>
              <w:rPr>
                <w:rFonts w:asciiTheme="minorHAnsi" w:hAnsiTheme="minorHAnsi" w:cstheme="minorHAnsi"/>
              </w:rPr>
            </w:pPr>
            <w:r w:rsidRPr="00655860">
              <w:rPr>
                <w:rFonts w:asciiTheme="minorHAnsi" w:hAnsiTheme="minorHAnsi" w:cstheme="minorHAnsi"/>
              </w:rPr>
              <w:t>means a securities borrowing and lending transaction entered into between the Parties relating to Malaysian Securities where the Loan is facilitated by the Clearing House.</w:t>
            </w:r>
          </w:p>
        </w:tc>
      </w:tr>
      <w:tr w:rsidR="008644C6" w:rsidRPr="00655860" w14:paraId="3F261BC3" w14:textId="77777777" w:rsidTr="00CB77BF">
        <w:tc>
          <w:tcPr>
            <w:tcW w:w="2502" w:type="dxa"/>
          </w:tcPr>
          <w:p w14:paraId="650BF999" w14:textId="77777777" w:rsidR="00EF1A8D" w:rsidRPr="00655860" w:rsidRDefault="00C8140D" w:rsidP="00A130DA">
            <w:pPr>
              <w:spacing w:before="120" w:after="120"/>
              <w:jc w:val="both"/>
              <w:rPr>
                <w:rFonts w:asciiTheme="minorHAnsi" w:hAnsiTheme="minorHAnsi" w:cstheme="minorHAnsi"/>
              </w:rPr>
            </w:pPr>
            <w:r w:rsidRPr="00655860">
              <w:rPr>
                <w:rFonts w:asciiTheme="minorHAnsi" w:hAnsiTheme="minorHAnsi" w:cstheme="minorHAnsi"/>
              </w:rPr>
              <w:t>“</w:t>
            </w:r>
            <w:r w:rsidRPr="00655860">
              <w:rPr>
                <w:rFonts w:asciiTheme="minorHAnsi" w:hAnsiTheme="minorHAnsi" w:cstheme="minorHAnsi"/>
                <w:b/>
              </w:rPr>
              <w:t>SBLNT System</w:t>
            </w:r>
            <w:r w:rsidRPr="00655860">
              <w:rPr>
                <w:rFonts w:asciiTheme="minorHAnsi" w:hAnsiTheme="minorHAnsi" w:cstheme="minorHAnsi"/>
              </w:rPr>
              <w:t>”</w:t>
            </w:r>
          </w:p>
        </w:tc>
        <w:tc>
          <w:tcPr>
            <w:tcW w:w="5674" w:type="dxa"/>
          </w:tcPr>
          <w:p w14:paraId="177358E6" w14:textId="77777777" w:rsidR="00EF1A8D" w:rsidRPr="00655860" w:rsidRDefault="00C8140D" w:rsidP="00A130DA">
            <w:pPr>
              <w:spacing w:before="120" w:after="120"/>
              <w:jc w:val="both"/>
              <w:rPr>
                <w:rFonts w:asciiTheme="minorHAnsi" w:hAnsiTheme="minorHAnsi" w:cstheme="minorHAnsi"/>
              </w:rPr>
            </w:pPr>
            <w:r w:rsidRPr="00655860">
              <w:rPr>
                <w:rFonts w:asciiTheme="minorHAnsi" w:hAnsiTheme="minorHAnsi" w:cstheme="minorHAnsi"/>
              </w:rPr>
              <w:t>means the system operated by the Clearing House to facilitate SBL Negotiated Transactions.</w:t>
            </w:r>
          </w:p>
        </w:tc>
      </w:tr>
      <w:tr w:rsidR="008644C6" w:rsidRPr="00655860" w14:paraId="5CF7C716" w14:textId="77777777" w:rsidTr="00CB77BF">
        <w:tc>
          <w:tcPr>
            <w:tcW w:w="2502" w:type="dxa"/>
          </w:tcPr>
          <w:p w14:paraId="3403E820" w14:textId="77777777" w:rsidR="00EF1A8D" w:rsidRPr="00655860" w:rsidRDefault="00C8140D" w:rsidP="00A130DA">
            <w:pPr>
              <w:spacing w:before="120" w:after="120"/>
              <w:jc w:val="both"/>
              <w:rPr>
                <w:rFonts w:asciiTheme="minorHAnsi" w:hAnsiTheme="minorHAnsi" w:cstheme="minorHAnsi"/>
              </w:rPr>
            </w:pPr>
            <w:r w:rsidRPr="00655860">
              <w:rPr>
                <w:rFonts w:asciiTheme="minorHAnsi" w:hAnsiTheme="minorHAnsi" w:cstheme="minorHAnsi"/>
                <w:bCs/>
              </w:rPr>
              <w:lastRenderedPageBreak/>
              <w:t>“</w:t>
            </w:r>
            <w:r w:rsidRPr="00655860">
              <w:rPr>
                <w:rFonts w:asciiTheme="minorHAnsi" w:hAnsiTheme="minorHAnsi" w:cstheme="minorHAnsi"/>
                <w:b/>
                <w:bCs/>
              </w:rPr>
              <w:t>Securities Account</w:t>
            </w:r>
            <w:r w:rsidRPr="00655860">
              <w:rPr>
                <w:rFonts w:asciiTheme="minorHAnsi" w:hAnsiTheme="minorHAnsi" w:cstheme="minorHAnsi"/>
                <w:bCs/>
              </w:rPr>
              <w:t>”</w:t>
            </w:r>
          </w:p>
        </w:tc>
        <w:tc>
          <w:tcPr>
            <w:tcW w:w="5674" w:type="dxa"/>
          </w:tcPr>
          <w:p w14:paraId="14ECD6C4" w14:textId="77777777" w:rsidR="00EF1A8D" w:rsidRPr="00655860" w:rsidRDefault="00C8140D" w:rsidP="00A130DA">
            <w:pPr>
              <w:spacing w:before="120" w:after="120"/>
              <w:jc w:val="both"/>
              <w:rPr>
                <w:rFonts w:asciiTheme="minorHAnsi" w:hAnsiTheme="minorHAnsi" w:cstheme="minorHAnsi"/>
              </w:rPr>
            </w:pPr>
            <w:r w:rsidRPr="00655860">
              <w:rPr>
                <w:rFonts w:asciiTheme="minorHAnsi" w:hAnsiTheme="minorHAnsi" w:cstheme="minorHAnsi"/>
              </w:rPr>
              <w:t>means a securities account maintained with the Central Depository.</w:t>
            </w:r>
          </w:p>
        </w:tc>
      </w:tr>
    </w:tbl>
    <w:p w14:paraId="289D8570" w14:textId="77777777" w:rsidR="00EF1A8D" w:rsidRPr="00655860" w:rsidRDefault="00C8140D" w:rsidP="00EF1A8D">
      <w:pPr>
        <w:numPr>
          <w:ilvl w:val="1"/>
          <w:numId w:val="15"/>
        </w:numPr>
        <w:spacing w:before="120" w:after="120"/>
        <w:ind w:hanging="720"/>
        <w:jc w:val="both"/>
        <w:rPr>
          <w:rFonts w:asciiTheme="minorHAnsi" w:hAnsiTheme="minorHAnsi" w:cstheme="minorHAnsi"/>
          <w:b/>
        </w:rPr>
      </w:pPr>
      <w:r w:rsidRPr="00655860">
        <w:rPr>
          <w:rFonts w:asciiTheme="minorHAnsi" w:hAnsiTheme="minorHAnsi" w:cstheme="minorHAnsi"/>
          <w:lang w:eastAsia="zh-CN"/>
        </w:rPr>
        <w:t>All headings appear for convenience only and shall not affect the interpretation of this Addendum.</w:t>
      </w:r>
      <w:r w:rsidRPr="00655860">
        <w:rPr>
          <w:rFonts w:asciiTheme="minorHAnsi" w:hAnsiTheme="minorHAnsi" w:cstheme="minorHAnsi"/>
          <w:b/>
        </w:rPr>
        <w:tab/>
      </w:r>
    </w:p>
    <w:p w14:paraId="3E14E97D" w14:textId="77777777" w:rsidR="001C2C28" w:rsidRPr="00655860" w:rsidRDefault="00C8140D" w:rsidP="00EF1A8D">
      <w:pPr>
        <w:numPr>
          <w:ilvl w:val="1"/>
          <w:numId w:val="15"/>
        </w:numPr>
        <w:spacing w:before="120" w:after="120"/>
        <w:ind w:hanging="720"/>
        <w:jc w:val="both"/>
        <w:rPr>
          <w:rFonts w:asciiTheme="minorHAnsi" w:hAnsiTheme="minorHAnsi" w:cstheme="minorHAnsi"/>
          <w:b/>
        </w:rPr>
      </w:pPr>
      <w:r w:rsidRPr="00655860">
        <w:rPr>
          <w:rFonts w:asciiTheme="minorHAnsi" w:hAnsiTheme="minorHAnsi" w:cstheme="minorHAnsi"/>
        </w:rPr>
        <w:t>Any reference in this Addendum to an act, regulation, or other legislation hereunder shall include a reference to any statutory modification or re-enactment thereof for the time being in force.</w:t>
      </w:r>
    </w:p>
    <w:p w14:paraId="434E250B" w14:textId="77777777" w:rsidR="001C2C28" w:rsidRPr="00655860" w:rsidRDefault="00C8140D" w:rsidP="00EF1A8D">
      <w:pPr>
        <w:numPr>
          <w:ilvl w:val="1"/>
          <w:numId w:val="15"/>
        </w:numPr>
        <w:spacing w:before="120" w:after="120"/>
        <w:ind w:hanging="720"/>
        <w:jc w:val="both"/>
        <w:rPr>
          <w:rFonts w:asciiTheme="minorHAnsi" w:hAnsiTheme="minorHAnsi" w:cstheme="minorHAnsi"/>
        </w:rPr>
      </w:pPr>
      <w:r w:rsidRPr="00655860">
        <w:rPr>
          <w:rFonts w:asciiTheme="minorHAnsi" w:hAnsiTheme="minorHAnsi" w:cstheme="minorHAnsi"/>
        </w:rPr>
        <w:t>Any reference in this Addendum to a paragraph means a term of the Agreement, and any reference to a Section means a term of this Addendum.</w:t>
      </w:r>
    </w:p>
    <w:p w14:paraId="27EFFF86" w14:textId="77777777" w:rsidR="00E20DBD" w:rsidRPr="00655860" w:rsidRDefault="00C8140D" w:rsidP="00F15D77">
      <w:pPr>
        <w:numPr>
          <w:ilvl w:val="0"/>
          <w:numId w:val="15"/>
        </w:numPr>
        <w:spacing w:before="360" w:after="120"/>
        <w:ind w:hanging="720"/>
        <w:jc w:val="both"/>
        <w:rPr>
          <w:rFonts w:asciiTheme="minorHAnsi" w:hAnsiTheme="minorHAnsi" w:cstheme="minorHAnsi"/>
        </w:rPr>
      </w:pPr>
      <w:r w:rsidRPr="00655860">
        <w:rPr>
          <w:rFonts w:asciiTheme="minorHAnsi" w:hAnsiTheme="minorHAnsi" w:cstheme="minorHAnsi"/>
          <w:b/>
        </w:rPr>
        <w:t>SCOPE</w:t>
      </w:r>
    </w:p>
    <w:p w14:paraId="3D2A7A11" w14:textId="77777777" w:rsidR="00E20DBD" w:rsidRPr="00655860" w:rsidRDefault="00C8140D" w:rsidP="00F15D77">
      <w:pPr>
        <w:spacing w:before="120" w:after="120"/>
        <w:ind w:left="720"/>
        <w:jc w:val="both"/>
        <w:rPr>
          <w:rFonts w:asciiTheme="minorHAnsi" w:hAnsiTheme="minorHAnsi" w:cstheme="minorHAnsi"/>
        </w:rPr>
      </w:pPr>
      <w:r w:rsidRPr="00655860">
        <w:rPr>
          <w:rFonts w:asciiTheme="minorHAnsi" w:hAnsiTheme="minorHAnsi" w:cstheme="minorHAnsi"/>
        </w:rPr>
        <w:t>This Addendum will apply in addition to the terms of the Agreement. In the event of any inconsistency between:</w:t>
      </w:r>
    </w:p>
    <w:p w14:paraId="2199B578" w14:textId="77777777" w:rsidR="00E20DBD" w:rsidRPr="00655860" w:rsidRDefault="00C8140D" w:rsidP="003A450F">
      <w:pPr>
        <w:numPr>
          <w:ilvl w:val="0"/>
          <w:numId w:val="8"/>
        </w:numPr>
        <w:tabs>
          <w:tab w:val="clear" w:pos="1080"/>
        </w:tabs>
        <w:spacing w:before="120" w:after="120"/>
        <w:ind w:left="1440" w:hanging="720"/>
        <w:jc w:val="both"/>
        <w:rPr>
          <w:rFonts w:asciiTheme="minorHAnsi" w:hAnsiTheme="minorHAnsi" w:cstheme="minorHAnsi"/>
        </w:rPr>
      </w:pPr>
      <w:r w:rsidRPr="00655860">
        <w:rPr>
          <w:rFonts w:asciiTheme="minorHAnsi" w:hAnsiTheme="minorHAnsi" w:cstheme="minorHAnsi"/>
        </w:rPr>
        <w:t>the terms of the Agreement and this Addendum with respect to a Malaysian Loan, this Addendum shall prevail for the purposes of the Malaysian Loan; and</w:t>
      </w:r>
    </w:p>
    <w:p w14:paraId="20D38786" w14:textId="77777777" w:rsidR="00E20DBD" w:rsidRPr="00655860" w:rsidRDefault="00C8140D" w:rsidP="003A450F">
      <w:pPr>
        <w:numPr>
          <w:ilvl w:val="0"/>
          <w:numId w:val="8"/>
        </w:numPr>
        <w:tabs>
          <w:tab w:val="clear" w:pos="1080"/>
        </w:tabs>
        <w:spacing w:before="120" w:after="120"/>
        <w:ind w:left="1440" w:hanging="720"/>
        <w:jc w:val="both"/>
        <w:rPr>
          <w:rFonts w:asciiTheme="minorHAnsi" w:hAnsiTheme="minorHAnsi" w:cstheme="minorHAnsi"/>
        </w:rPr>
      </w:pPr>
      <w:r w:rsidRPr="00655860">
        <w:rPr>
          <w:rFonts w:asciiTheme="minorHAnsi" w:hAnsiTheme="minorHAnsi" w:cstheme="minorHAnsi"/>
        </w:rPr>
        <w:t>this Addendum and the terms of the SBL Circulars and/or other applicable local laws and regulations, the terms of the SBL Circulars and/or other applicable local laws and regulations shall prevail.</w:t>
      </w:r>
    </w:p>
    <w:p w14:paraId="6E02EBBB" w14:textId="77777777" w:rsidR="00E20DBD" w:rsidRPr="00655860" w:rsidRDefault="00C8140D" w:rsidP="003A450F">
      <w:pPr>
        <w:pStyle w:val="Title"/>
        <w:spacing w:before="120" w:after="120"/>
        <w:ind w:left="720"/>
        <w:jc w:val="both"/>
        <w:rPr>
          <w:rFonts w:asciiTheme="minorHAnsi" w:hAnsiTheme="minorHAnsi" w:cstheme="minorHAnsi"/>
          <w:b w:val="0"/>
          <w:bCs/>
          <w:sz w:val="24"/>
          <w:szCs w:val="24"/>
        </w:rPr>
      </w:pPr>
      <w:r w:rsidRPr="00655860">
        <w:rPr>
          <w:rFonts w:asciiTheme="minorHAnsi" w:hAnsiTheme="minorHAnsi" w:cstheme="minorHAnsi"/>
          <w:b w:val="0"/>
          <w:bCs/>
          <w:sz w:val="24"/>
          <w:szCs w:val="24"/>
        </w:rPr>
        <w:t>If the SBL Circulars or other applicable local laws and regulations or any agreement entered into between a Party and the Clearing House in relation to the SBLNT are amended, this Addendum shall be deemed to be varied, to the extent necessary, to comply with the amended SBL Circular or other applicable local laws and regulations without the need for any supplemental agreement to reflect the changes unless such changes are materially prejudicial to the rights of the Parties.</w:t>
      </w:r>
    </w:p>
    <w:p w14:paraId="011A4CCA" w14:textId="77777777" w:rsidR="00E20DBD" w:rsidRPr="00655860" w:rsidRDefault="00C8140D" w:rsidP="00F15D77">
      <w:pPr>
        <w:numPr>
          <w:ilvl w:val="0"/>
          <w:numId w:val="15"/>
        </w:numPr>
        <w:spacing w:before="360" w:after="120"/>
        <w:ind w:hanging="720"/>
        <w:jc w:val="both"/>
        <w:rPr>
          <w:rFonts w:asciiTheme="minorHAnsi" w:hAnsiTheme="minorHAnsi" w:cstheme="minorHAnsi"/>
          <w:b/>
        </w:rPr>
      </w:pPr>
      <w:r w:rsidRPr="00655860">
        <w:rPr>
          <w:rFonts w:asciiTheme="minorHAnsi" w:hAnsiTheme="minorHAnsi" w:cstheme="minorHAnsi"/>
          <w:b/>
          <w:bCs/>
        </w:rPr>
        <w:t>CLEARING HOUSE REQUIREMENTS FOR SBLNT</w:t>
      </w:r>
    </w:p>
    <w:p w14:paraId="69008B91" w14:textId="77777777" w:rsidR="00E20DBD" w:rsidRPr="00655860" w:rsidRDefault="00C8140D" w:rsidP="005341CC">
      <w:pPr>
        <w:numPr>
          <w:ilvl w:val="1"/>
          <w:numId w:val="15"/>
        </w:numPr>
        <w:spacing w:before="120" w:after="120"/>
        <w:ind w:hanging="720"/>
        <w:jc w:val="both"/>
        <w:rPr>
          <w:rFonts w:asciiTheme="minorHAnsi" w:hAnsiTheme="minorHAnsi" w:cstheme="minorHAnsi"/>
        </w:rPr>
      </w:pPr>
      <w:r w:rsidRPr="00655860">
        <w:rPr>
          <w:rFonts w:asciiTheme="minorHAnsi" w:hAnsiTheme="minorHAnsi" w:cstheme="minorHAnsi"/>
        </w:rPr>
        <w:t>Each Party agrees:</w:t>
      </w:r>
    </w:p>
    <w:p w14:paraId="54F71DA1" w14:textId="77777777" w:rsidR="00E20DBD" w:rsidRPr="00655860" w:rsidRDefault="00C8140D" w:rsidP="008E76BC">
      <w:pPr>
        <w:numPr>
          <w:ilvl w:val="0"/>
          <w:numId w:val="6"/>
        </w:numPr>
        <w:autoSpaceDE w:val="0"/>
        <w:autoSpaceDN w:val="0"/>
        <w:adjustRightInd w:val="0"/>
        <w:spacing w:before="120" w:after="120"/>
        <w:jc w:val="both"/>
        <w:rPr>
          <w:rFonts w:asciiTheme="minorHAnsi" w:hAnsiTheme="minorHAnsi" w:cstheme="minorHAnsi"/>
        </w:rPr>
      </w:pPr>
      <w:r w:rsidRPr="00655860">
        <w:rPr>
          <w:rFonts w:asciiTheme="minorHAnsi" w:hAnsiTheme="minorHAnsi" w:cstheme="minorHAnsi"/>
        </w:rPr>
        <w:t>that delivery of Malaysian Securities will be effected in accordance with the requirements of the Clearing House for SBLNT as set out in the SBL Circulars</w:t>
      </w:r>
      <w:r w:rsidRPr="00655860">
        <w:rPr>
          <w:rStyle w:val="FootnoteReference"/>
          <w:rFonts w:asciiTheme="minorHAnsi" w:hAnsiTheme="minorHAnsi" w:cstheme="minorHAnsi"/>
        </w:rPr>
        <w:footnoteReference w:id="2"/>
      </w:r>
      <w:r w:rsidRPr="00655860">
        <w:rPr>
          <w:rFonts w:asciiTheme="minorHAnsi" w:hAnsiTheme="minorHAnsi" w:cstheme="minorHAnsi"/>
        </w:rPr>
        <w:t>.</w:t>
      </w:r>
    </w:p>
    <w:p w14:paraId="27389AA2" w14:textId="77777777" w:rsidR="00E20DBD" w:rsidRPr="00655860" w:rsidRDefault="00C8140D" w:rsidP="008E76BC">
      <w:pPr>
        <w:numPr>
          <w:ilvl w:val="0"/>
          <w:numId w:val="6"/>
        </w:numPr>
        <w:autoSpaceDE w:val="0"/>
        <w:autoSpaceDN w:val="0"/>
        <w:adjustRightInd w:val="0"/>
        <w:spacing w:before="120" w:after="120"/>
        <w:jc w:val="both"/>
        <w:rPr>
          <w:rFonts w:asciiTheme="minorHAnsi" w:hAnsiTheme="minorHAnsi" w:cstheme="minorHAnsi"/>
        </w:rPr>
      </w:pPr>
      <w:r w:rsidRPr="00655860">
        <w:rPr>
          <w:rFonts w:asciiTheme="minorHAnsi" w:hAnsiTheme="minorHAnsi" w:cstheme="minorHAnsi"/>
        </w:rPr>
        <w:t xml:space="preserve">to observe the requirements of the Malaysian Stock Exchange, the Clearing House and the Central Depository in relation to any SBLNT as set out in the </w:t>
      </w:r>
      <w:r w:rsidRPr="00655860">
        <w:rPr>
          <w:rFonts w:asciiTheme="minorHAnsi" w:hAnsiTheme="minorHAnsi" w:cstheme="minorHAnsi"/>
        </w:rPr>
        <w:lastRenderedPageBreak/>
        <w:t>respective rules and circulars of the Malaysian Stock Exchange, the Clearing House and the Central Depository from time to time</w:t>
      </w:r>
      <w:r w:rsidRPr="00655860">
        <w:rPr>
          <w:rStyle w:val="FootnoteReference"/>
          <w:rFonts w:asciiTheme="minorHAnsi" w:hAnsiTheme="minorHAnsi" w:cstheme="minorHAnsi"/>
        </w:rPr>
        <w:footnoteReference w:id="3"/>
      </w:r>
      <w:r w:rsidRPr="00655860">
        <w:rPr>
          <w:rFonts w:asciiTheme="minorHAnsi" w:hAnsiTheme="minorHAnsi" w:cstheme="minorHAnsi"/>
        </w:rPr>
        <w:t>.</w:t>
      </w:r>
    </w:p>
    <w:p w14:paraId="4190F6F8" w14:textId="77777777" w:rsidR="00E20DBD" w:rsidRPr="00655860" w:rsidRDefault="00C8140D" w:rsidP="008E76BC">
      <w:pPr>
        <w:numPr>
          <w:ilvl w:val="0"/>
          <w:numId w:val="6"/>
        </w:numPr>
        <w:autoSpaceDE w:val="0"/>
        <w:autoSpaceDN w:val="0"/>
        <w:adjustRightInd w:val="0"/>
        <w:spacing w:before="120" w:after="120"/>
        <w:jc w:val="both"/>
        <w:rPr>
          <w:rFonts w:asciiTheme="minorHAnsi" w:hAnsiTheme="minorHAnsi" w:cstheme="minorHAnsi"/>
          <w:b/>
          <w:bCs/>
        </w:rPr>
      </w:pPr>
      <w:r w:rsidRPr="00655860">
        <w:rPr>
          <w:rFonts w:asciiTheme="minorHAnsi" w:hAnsiTheme="minorHAnsi" w:cstheme="minorHAnsi"/>
        </w:rPr>
        <w:t>to the other Party’s furnishing to the Clearing House or the Securities Commission Malaysia as required by them any information relating to any Malaysian Loan</w:t>
      </w:r>
      <w:r w:rsidRPr="00655860">
        <w:rPr>
          <w:rStyle w:val="FootnoteReference"/>
          <w:rFonts w:asciiTheme="minorHAnsi" w:hAnsiTheme="minorHAnsi" w:cstheme="minorHAnsi"/>
        </w:rPr>
        <w:footnoteReference w:id="4"/>
      </w:r>
      <w:r w:rsidRPr="00655860">
        <w:rPr>
          <w:rFonts w:asciiTheme="minorHAnsi" w:hAnsiTheme="minorHAnsi" w:cstheme="minorHAnsi"/>
        </w:rPr>
        <w:t>.</w:t>
      </w:r>
    </w:p>
    <w:p w14:paraId="715F51D2" w14:textId="77777777" w:rsidR="00E20DBD" w:rsidRPr="00655860" w:rsidRDefault="00C8140D" w:rsidP="008E76BC">
      <w:pPr>
        <w:numPr>
          <w:ilvl w:val="0"/>
          <w:numId w:val="6"/>
        </w:numPr>
        <w:autoSpaceDE w:val="0"/>
        <w:autoSpaceDN w:val="0"/>
        <w:adjustRightInd w:val="0"/>
        <w:spacing w:before="120" w:after="120"/>
        <w:jc w:val="both"/>
        <w:rPr>
          <w:rFonts w:asciiTheme="minorHAnsi" w:hAnsiTheme="minorHAnsi" w:cstheme="minorHAnsi"/>
        </w:rPr>
      </w:pPr>
      <w:r w:rsidRPr="00655860">
        <w:rPr>
          <w:rFonts w:asciiTheme="minorHAnsi" w:hAnsiTheme="minorHAnsi" w:cstheme="minorHAnsi"/>
          <w:bCs/>
        </w:rPr>
        <w:t xml:space="preserve">that </w:t>
      </w:r>
      <w:r w:rsidRPr="00655860">
        <w:rPr>
          <w:rFonts w:asciiTheme="minorHAnsi" w:hAnsiTheme="minorHAnsi" w:cstheme="minorHAnsi"/>
        </w:rPr>
        <w:t>it will not enter into any Malaysian Loan as (a) Approved SBLNT Borrower, if it has ceased to be an Approved SBLNT Borrower or does not have a Borrowing Representative, or (b) Approved SBLNT Lender, if it has ceased to be an Approved SBLNT Lender or does not have a Lending Representative</w:t>
      </w:r>
      <w:r w:rsidRPr="00655860">
        <w:rPr>
          <w:rStyle w:val="FootnoteReference"/>
          <w:rFonts w:asciiTheme="minorHAnsi" w:hAnsiTheme="minorHAnsi" w:cstheme="minorHAnsi"/>
        </w:rPr>
        <w:footnoteReference w:id="5"/>
      </w:r>
      <w:r w:rsidRPr="00655860">
        <w:rPr>
          <w:rFonts w:asciiTheme="minorHAnsi" w:hAnsiTheme="minorHAnsi" w:cstheme="minorHAnsi"/>
        </w:rPr>
        <w:t>.</w:t>
      </w:r>
    </w:p>
    <w:p w14:paraId="70D2DB4C" w14:textId="77777777" w:rsidR="00E20DBD" w:rsidRPr="00655860" w:rsidRDefault="00C8140D" w:rsidP="005341CC">
      <w:pPr>
        <w:numPr>
          <w:ilvl w:val="1"/>
          <w:numId w:val="15"/>
        </w:numPr>
        <w:spacing w:before="120" w:after="120"/>
        <w:ind w:hanging="720"/>
        <w:jc w:val="both"/>
        <w:rPr>
          <w:rFonts w:asciiTheme="minorHAnsi" w:hAnsiTheme="minorHAnsi" w:cstheme="minorHAnsi"/>
        </w:rPr>
      </w:pPr>
      <w:r w:rsidRPr="00655860">
        <w:rPr>
          <w:rFonts w:asciiTheme="minorHAnsi" w:hAnsiTheme="minorHAnsi" w:cstheme="minorHAnsi"/>
        </w:rPr>
        <w:t>Representatives</w:t>
      </w:r>
      <w:r w:rsidRPr="00655860">
        <w:rPr>
          <w:rStyle w:val="FootnoteReference"/>
          <w:rFonts w:asciiTheme="minorHAnsi" w:hAnsiTheme="minorHAnsi" w:cstheme="minorHAnsi"/>
        </w:rPr>
        <w:footnoteReference w:id="6"/>
      </w:r>
    </w:p>
    <w:p w14:paraId="6433F61B" w14:textId="77777777" w:rsidR="00E20DBD" w:rsidRPr="00655860" w:rsidRDefault="00C8140D" w:rsidP="009D36B4">
      <w:pPr>
        <w:numPr>
          <w:ilvl w:val="1"/>
          <w:numId w:val="6"/>
        </w:numPr>
        <w:spacing w:before="120" w:after="120"/>
        <w:jc w:val="both"/>
        <w:rPr>
          <w:rFonts w:asciiTheme="minorHAnsi" w:hAnsiTheme="minorHAnsi" w:cstheme="minorHAnsi"/>
        </w:rPr>
      </w:pPr>
      <w:r w:rsidRPr="00655860">
        <w:rPr>
          <w:rFonts w:asciiTheme="minorHAnsi" w:hAnsiTheme="minorHAnsi" w:cstheme="minorHAnsi"/>
        </w:rPr>
        <w:t>Party A has appointed:</w:t>
      </w:r>
    </w:p>
    <w:p w14:paraId="3875619F" w14:textId="77777777" w:rsidR="00E20DBD" w:rsidRPr="00655860" w:rsidRDefault="00C8140D" w:rsidP="009D36B4">
      <w:pPr>
        <w:pStyle w:val="BodyTextIndent3"/>
        <w:spacing w:before="120"/>
        <w:rPr>
          <w:rFonts w:asciiTheme="minorHAnsi" w:hAnsiTheme="minorHAnsi" w:cstheme="minorHAnsi"/>
          <w:sz w:val="24"/>
          <w:szCs w:val="24"/>
        </w:rPr>
      </w:pPr>
      <w:r w:rsidRPr="00655860">
        <w:rPr>
          <w:rFonts w:asciiTheme="minorHAnsi" w:hAnsiTheme="minorHAnsi" w:cstheme="minorHAnsi"/>
          <w:sz w:val="24"/>
          <w:szCs w:val="24"/>
        </w:rPr>
        <w:t>[</w:t>
      </w:r>
      <w:r w:rsidRPr="00655860">
        <w:rPr>
          <w:rFonts w:asciiTheme="minorHAnsi" w:eastAsia="SimSun" w:hAnsiTheme="minorHAnsi" w:cstheme="minorHAnsi"/>
          <w:b/>
          <w:bCs/>
          <w:sz w:val="24"/>
          <w:szCs w:val="24"/>
        </w:rPr>
        <w:t>●</w:t>
      </w:r>
      <w:r w:rsidRPr="00655860">
        <w:rPr>
          <w:rFonts w:asciiTheme="minorHAnsi" w:hAnsiTheme="minorHAnsi" w:cstheme="minorHAnsi"/>
          <w:sz w:val="24"/>
          <w:szCs w:val="24"/>
        </w:rPr>
        <w:t>] (Registration No.: [</w:t>
      </w:r>
      <w:r w:rsidRPr="00655860">
        <w:rPr>
          <w:rFonts w:asciiTheme="minorHAnsi" w:eastAsia="SimSun" w:hAnsiTheme="minorHAnsi" w:cstheme="minorHAnsi"/>
          <w:b/>
          <w:bCs/>
          <w:sz w:val="24"/>
          <w:szCs w:val="24"/>
        </w:rPr>
        <w:t>●</w:t>
      </w:r>
      <w:r w:rsidRPr="00655860">
        <w:rPr>
          <w:rFonts w:asciiTheme="minorHAnsi" w:hAnsiTheme="minorHAnsi" w:cstheme="minorHAnsi"/>
          <w:sz w:val="24"/>
          <w:szCs w:val="24"/>
        </w:rPr>
        <w:t>]) as its Lending Representative.</w:t>
      </w:r>
    </w:p>
    <w:p w14:paraId="0A2ED540" w14:textId="77777777" w:rsidR="009D36B4" w:rsidRPr="00655860" w:rsidRDefault="00C8140D" w:rsidP="009D36B4">
      <w:pPr>
        <w:pStyle w:val="BodyTextIndent3"/>
        <w:spacing w:before="120"/>
        <w:rPr>
          <w:rFonts w:asciiTheme="minorHAnsi" w:hAnsiTheme="minorHAnsi" w:cstheme="minorHAnsi"/>
          <w:sz w:val="24"/>
          <w:szCs w:val="24"/>
        </w:rPr>
      </w:pPr>
      <w:r w:rsidRPr="00655860">
        <w:rPr>
          <w:rFonts w:asciiTheme="minorHAnsi" w:hAnsiTheme="minorHAnsi" w:cstheme="minorHAnsi"/>
          <w:sz w:val="24"/>
          <w:szCs w:val="24"/>
        </w:rPr>
        <w:t>[</w:t>
      </w:r>
      <w:r w:rsidRPr="00655860">
        <w:rPr>
          <w:rFonts w:asciiTheme="minorHAnsi" w:eastAsia="SimSun" w:hAnsiTheme="minorHAnsi" w:cstheme="minorHAnsi"/>
          <w:b/>
          <w:bCs/>
          <w:sz w:val="24"/>
          <w:szCs w:val="24"/>
        </w:rPr>
        <w:t>●</w:t>
      </w:r>
      <w:r w:rsidRPr="00655860">
        <w:rPr>
          <w:rFonts w:asciiTheme="minorHAnsi" w:hAnsiTheme="minorHAnsi" w:cstheme="minorHAnsi"/>
          <w:sz w:val="24"/>
          <w:szCs w:val="24"/>
        </w:rPr>
        <w:t>] (Registration No.: [</w:t>
      </w:r>
      <w:r w:rsidRPr="00655860">
        <w:rPr>
          <w:rFonts w:asciiTheme="minorHAnsi" w:eastAsia="SimSun" w:hAnsiTheme="minorHAnsi" w:cstheme="minorHAnsi"/>
          <w:b/>
          <w:bCs/>
          <w:sz w:val="24"/>
          <w:szCs w:val="24"/>
        </w:rPr>
        <w:t>●</w:t>
      </w:r>
      <w:r w:rsidRPr="00655860">
        <w:rPr>
          <w:rFonts w:asciiTheme="minorHAnsi" w:hAnsiTheme="minorHAnsi" w:cstheme="minorHAnsi"/>
          <w:sz w:val="24"/>
          <w:szCs w:val="24"/>
        </w:rPr>
        <w:t>]) as its Borrowing Representative.</w:t>
      </w:r>
    </w:p>
    <w:p w14:paraId="41B7AC7A" w14:textId="77777777" w:rsidR="00E20DBD" w:rsidRPr="00655860" w:rsidRDefault="00C8140D" w:rsidP="009D36B4">
      <w:pPr>
        <w:numPr>
          <w:ilvl w:val="1"/>
          <w:numId w:val="6"/>
        </w:numPr>
        <w:spacing w:before="120" w:after="120"/>
        <w:jc w:val="both"/>
        <w:rPr>
          <w:rFonts w:asciiTheme="minorHAnsi" w:hAnsiTheme="minorHAnsi" w:cstheme="minorHAnsi"/>
        </w:rPr>
      </w:pPr>
      <w:r w:rsidRPr="00655860">
        <w:rPr>
          <w:rFonts w:asciiTheme="minorHAnsi" w:hAnsiTheme="minorHAnsi" w:cstheme="minorHAnsi"/>
        </w:rPr>
        <w:t>Party B has appointed:</w:t>
      </w:r>
    </w:p>
    <w:p w14:paraId="3E608EF3" w14:textId="77777777" w:rsidR="009D36B4" w:rsidRPr="00655860" w:rsidRDefault="00C8140D" w:rsidP="009D36B4">
      <w:pPr>
        <w:pStyle w:val="BodyTextIndent3"/>
        <w:spacing w:before="120"/>
        <w:rPr>
          <w:rFonts w:asciiTheme="minorHAnsi" w:hAnsiTheme="minorHAnsi" w:cstheme="minorHAnsi"/>
          <w:sz w:val="24"/>
          <w:szCs w:val="24"/>
        </w:rPr>
      </w:pPr>
      <w:r w:rsidRPr="00655860">
        <w:rPr>
          <w:rFonts w:asciiTheme="minorHAnsi" w:hAnsiTheme="minorHAnsi" w:cstheme="minorHAnsi"/>
          <w:sz w:val="24"/>
          <w:szCs w:val="24"/>
        </w:rPr>
        <w:t>[</w:t>
      </w:r>
      <w:r w:rsidRPr="00655860">
        <w:rPr>
          <w:rFonts w:asciiTheme="minorHAnsi" w:eastAsia="SimSun" w:hAnsiTheme="minorHAnsi" w:cstheme="minorHAnsi"/>
          <w:b/>
          <w:bCs/>
          <w:sz w:val="24"/>
          <w:szCs w:val="24"/>
        </w:rPr>
        <w:t>●</w:t>
      </w:r>
      <w:r w:rsidRPr="00655860">
        <w:rPr>
          <w:rFonts w:asciiTheme="minorHAnsi" w:hAnsiTheme="minorHAnsi" w:cstheme="minorHAnsi"/>
          <w:sz w:val="24"/>
          <w:szCs w:val="24"/>
        </w:rPr>
        <w:t>] (Registration No.: [</w:t>
      </w:r>
      <w:r w:rsidRPr="00655860">
        <w:rPr>
          <w:rFonts w:asciiTheme="minorHAnsi" w:eastAsia="SimSun" w:hAnsiTheme="minorHAnsi" w:cstheme="minorHAnsi"/>
          <w:b/>
          <w:bCs/>
          <w:sz w:val="24"/>
          <w:szCs w:val="24"/>
        </w:rPr>
        <w:t>●</w:t>
      </w:r>
      <w:r w:rsidRPr="00655860">
        <w:rPr>
          <w:rFonts w:asciiTheme="minorHAnsi" w:hAnsiTheme="minorHAnsi" w:cstheme="minorHAnsi"/>
          <w:sz w:val="24"/>
          <w:szCs w:val="24"/>
        </w:rPr>
        <w:t>]) as its Lending Representative.</w:t>
      </w:r>
    </w:p>
    <w:p w14:paraId="1958D6D2" w14:textId="77777777" w:rsidR="00E20DBD" w:rsidRPr="00655860" w:rsidRDefault="00C8140D" w:rsidP="009D36B4">
      <w:pPr>
        <w:pStyle w:val="BodyTextIndent3"/>
        <w:spacing w:before="120"/>
        <w:rPr>
          <w:rFonts w:asciiTheme="minorHAnsi" w:hAnsiTheme="minorHAnsi" w:cstheme="minorHAnsi"/>
          <w:sz w:val="24"/>
          <w:szCs w:val="24"/>
        </w:rPr>
      </w:pPr>
      <w:r w:rsidRPr="00655860">
        <w:rPr>
          <w:rFonts w:asciiTheme="minorHAnsi" w:hAnsiTheme="minorHAnsi" w:cstheme="minorHAnsi"/>
          <w:sz w:val="24"/>
          <w:szCs w:val="24"/>
        </w:rPr>
        <w:t>[</w:t>
      </w:r>
      <w:r w:rsidRPr="00655860">
        <w:rPr>
          <w:rFonts w:asciiTheme="minorHAnsi" w:eastAsia="SimSun" w:hAnsiTheme="minorHAnsi" w:cstheme="minorHAnsi"/>
          <w:b/>
          <w:bCs/>
          <w:sz w:val="24"/>
          <w:szCs w:val="24"/>
        </w:rPr>
        <w:t>●</w:t>
      </w:r>
      <w:r w:rsidRPr="00655860">
        <w:rPr>
          <w:rFonts w:asciiTheme="minorHAnsi" w:hAnsiTheme="minorHAnsi" w:cstheme="minorHAnsi"/>
          <w:sz w:val="24"/>
          <w:szCs w:val="24"/>
        </w:rPr>
        <w:t>] (Registration No.: [</w:t>
      </w:r>
      <w:r w:rsidRPr="00655860">
        <w:rPr>
          <w:rFonts w:asciiTheme="minorHAnsi" w:eastAsia="SimSun" w:hAnsiTheme="minorHAnsi" w:cstheme="minorHAnsi"/>
          <w:b/>
          <w:bCs/>
          <w:sz w:val="24"/>
          <w:szCs w:val="24"/>
        </w:rPr>
        <w:t>●</w:t>
      </w:r>
      <w:r w:rsidRPr="00655860">
        <w:rPr>
          <w:rFonts w:asciiTheme="minorHAnsi" w:hAnsiTheme="minorHAnsi" w:cstheme="minorHAnsi"/>
          <w:sz w:val="24"/>
          <w:szCs w:val="24"/>
        </w:rPr>
        <w:t>]) as its Borrowing Representative.</w:t>
      </w:r>
    </w:p>
    <w:p w14:paraId="00360844" w14:textId="77777777" w:rsidR="00E20DBD" w:rsidRPr="00655860" w:rsidRDefault="00C8140D" w:rsidP="009D36B4">
      <w:pPr>
        <w:numPr>
          <w:ilvl w:val="1"/>
          <w:numId w:val="6"/>
        </w:numPr>
        <w:spacing w:before="120" w:after="120"/>
        <w:jc w:val="both"/>
        <w:rPr>
          <w:rFonts w:asciiTheme="minorHAnsi" w:hAnsiTheme="minorHAnsi" w:cstheme="minorHAnsi"/>
        </w:rPr>
      </w:pPr>
      <w:r w:rsidRPr="00655860">
        <w:rPr>
          <w:rFonts w:asciiTheme="minorHAnsi" w:hAnsiTheme="minorHAnsi" w:cstheme="minorHAnsi"/>
        </w:rPr>
        <w:t>Each Party will notify the other Party of any intended change of Lending Representative or Borrowing Representative as soon as practicable.</w:t>
      </w:r>
    </w:p>
    <w:p w14:paraId="33E7C13E" w14:textId="77777777" w:rsidR="00E20DBD" w:rsidRPr="00655860" w:rsidRDefault="00C8140D" w:rsidP="005341CC">
      <w:pPr>
        <w:numPr>
          <w:ilvl w:val="1"/>
          <w:numId w:val="15"/>
        </w:numPr>
        <w:spacing w:before="120" w:after="120"/>
        <w:ind w:hanging="720"/>
        <w:jc w:val="both"/>
        <w:rPr>
          <w:rFonts w:asciiTheme="minorHAnsi" w:hAnsiTheme="minorHAnsi" w:cstheme="minorHAnsi"/>
          <w:b/>
          <w:bCs/>
          <w:i/>
          <w:iCs/>
        </w:rPr>
      </w:pPr>
      <w:r w:rsidRPr="00655860">
        <w:rPr>
          <w:rFonts w:asciiTheme="minorHAnsi" w:hAnsiTheme="minorHAnsi" w:cstheme="minorHAnsi"/>
        </w:rPr>
        <w:t>In addition to the capacity stated in the Agreement, a Party enters this Addendum in the capacity of Approved SBLNT Lender and Approved SBLNT Borrower for the purposes of any SBLNT.</w:t>
      </w:r>
    </w:p>
    <w:p w14:paraId="5CED2544" w14:textId="77777777" w:rsidR="003D4777" w:rsidRPr="00655860" w:rsidRDefault="00C8140D" w:rsidP="005341CC">
      <w:pPr>
        <w:numPr>
          <w:ilvl w:val="0"/>
          <w:numId w:val="15"/>
        </w:numPr>
        <w:spacing w:before="360" w:after="120"/>
        <w:ind w:hanging="720"/>
        <w:jc w:val="both"/>
        <w:rPr>
          <w:rFonts w:asciiTheme="minorHAnsi" w:hAnsiTheme="minorHAnsi" w:cstheme="minorHAnsi"/>
          <w:b/>
          <w:lang w:eastAsia="zh-CN"/>
        </w:rPr>
      </w:pPr>
      <w:r w:rsidRPr="00655860">
        <w:rPr>
          <w:rFonts w:asciiTheme="minorHAnsi" w:hAnsiTheme="minorHAnsi" w:cstheme="minorHAnsi"/>
          <w:b/>
          <w:bCs/>
        </w:rPr>
        <w:t>INTERMEDIARY</w:t>
      </w:r>
      <w:r w:rsidRPr="00655860">
        <w:rPr>
          <w:rFonts w:asciiTheme="minorHAnsi" w:hAnsiTheme="minorHAnsi" w:cstheme="minorHAnsi"/>
          <w:b/>
          <w:lang w:eastAsia="zh-CN"/>
        </w:rPr>
        <w:t xml:space="preserve"> FEE</w:t>
      </w:r>
    </w:p>
    <w:p w14:paraId="10BB7D58" w14:textId="77777777" w:rsidR="00426C5C" w:rsidRPr="00655860" w:rsidRDefault="00C8140D" w:rsidP="009327CE">
      <w:pPr>
        <w:spacing w:before="120" w:after="120"/>
        <w:ind w:left="720" w:hanging="11"/>
        <w:jc w:val="both"/>
        <w:rPr>
          <w:rFonts w:asciiTheme="minorHAnsi" w:hAnsiTheme="minorHAnsi" w:cstheme="minorHAnsi"/>
          <w:lang w:val="en-GB"/>
        </w:rPr>
      </w:pPr>
      <w:r w:rsidRPr="00655860">
        <w:rPr>
          <w:rFonts w:asciiTheme="minorHAnsi" w:hAnsiTheme="minorHAnsi" w:cstheme="minorHAnsi"/>
          <w:b/>
          <w:lang w:val="en-GB"/>
        </w:rPr>
        <w:t>[</w:t>
      </w:r>
      <w:r w:rsidRPr="00655860">
        <w:rPr>
          <w:rFonts w:asciiTheme="minorHAnsi" w:hAnsiTheme="minorHAnsi" w:cstheme="minorHAnsi"/>
          <w:lang w:val="en-GB"/>
        </w:rPr>
        <w:t>The Party that is the Approved SBLNT Borrower in respect of a Malaysian Loan will bear 100% of the intermediary fee payable to the Clearing House for that Malaysian Loan.</w:t>
      </w:r>
      <w:r w:rsidRPr="00655860">
        <w:rPr>
          <w:rFonts w:asciiTheme="minorHAnsi" w:hAnsiTheme="minorHAnsi" w:cstheme="minorHAnsi"/>
          <w:b/>
          <w:lang w:val="en-GB"/>
        </w:rPr>
        <w:t>] [</w:t>
      </w:r>
      <w:r w:rsidRPr="00655860">
        <w:rPr>
          <w:rFonts w:asciiTheme="minorHAnsi" w:hAnsiTheme="minorHAnsi" w:cstheme="minorHAnsi"/>
          <w:lang w:val="en-GB"/>
        </w:rPr>
        <w:t>Each Party will bear 50% of the intermediary fee payable to the Clearing House for a Malaysian Loan.</w:t>
      </w:r>
      <w:r w:rsidRPr="00655860">
        <w:rPr>
          <w:rFonts w:asciiTheme="minorHAnsi" w:hAnsiTheme="minorHAnsi" w:cstheme="minorHAnsi"/>
          <w:vertAlign w:val="superscript"/>
          <w:lang w:val="en-GB"/>
        </w:rPr>
        <w:footnoteReference w:id="7"/>
      </w:r>
      <w:r w:rsidRPr="00655860">
        <w:rPr>
          <w:rFonts w:asciiTheme="minorHAnsi" w:hAnsiTheme="minorHAnsi" w:cstheme="minorHAnsi"/>
          <w:b/>
          <w:lang w:val="en-GB"/>
        </w:rPr>
        <w:t>]</w:t>
      </w:r>
    </w:p>
    <w:p w14:paraId="03C45211" w14:textId="77777777" w:rsidR="00E20DBD" w:rsidRPr="00655860" w:rsidRDefault="00C8140D" w:rsidP="00732A7B">
      <w:pPr>
        <w:numPr>
          <w:ilvl w:val="0"/>
          <w:numId w:val="15"/>
        </w:numPr>
        <w:spacing w:before="360" w:after="120"/>
        <w:ind w:hanging="720"/>
        <w:jc w:val="both"/>
        <w:rPr>
          <w:rFonts w:asciiTheme="minorHAnsi" w:hAnsiTheme="minorHAnsi" w:cstheme="minorHAnsi"/>
          <w:b/>
          <w:lang w:eastAsia="zh-CN"/>
        </w:rPr>
      </w:pPr>
      <w:r w:rsidRPr="00655860">
        <w:rPr>
          <w:rFonts w:asciiTheme="minorHAnsi" w:hAnsiTheme="minorHAnsi" w:cstheme="minorHAnsi"/>
          <w:b/>
          <w:bCs/>
        </w:rPr>
        <w:lastRenderedPageBreak/>
        <w:t>MODIFICATIONS</w:t>
      </w:r>
      <w:r w:rsidRPr="00655860">
        <w:rPr>
          <w:rFonts w:asciiTheme="minorHAnsi" w:hAnsiTheme="minorHAnsi" w:cstheme="minorHAnsi"/>
          <w:b/>
        </w:rPr>
        <w:t xml:space="preserve"> TO THE AGREEMENT</w:t>
      </w:r>
    </w:p>
    <w:p w14:paraId="1D8D1964" w14:textId="77777777" w:rsidR="0014085D" w:rsidRPr="00655860" w:rsidRDefault="00C8140D" w:rsidP="00F71468">
      <w:pPr>
        <w:numPr>
          <w:ilvl w:val="1"/>
          <w:numId w:val="15"/>
        </w:numPr>
        <w:spacing w:before="120" w:after="120"/>
        <w:ind w:hanging="720"/>
        <w:jc w:val="both"/>
        <w:rPr>
          <w:rFonts w:asciiTheme="minorHAnsi" w:eastAsia="PMingLiU" w:hAnsiTheme="minorHAnsi" w:cstheme="minorHAnsi"/>
          <w:lang w:eastAsia="zh-TW"/>
        </w:rPr>
      </w:pPr>
      <w:r w:rsidRPr="00655860">
        <w:rPr>
          <w:rFonts w:asciiTheme="minorHAnsi" w:hAnsiTheme="minorHAnsi" w:cstheme="minorHAnsi"/>
          <w:lang w:eastAsia="zh-CN"/>
        </w:rPr>
        <w:t>Paragraph</w:t>
      </w:r>
      <w:r w:rsidRPr="00655860">
        <w:rPr>
          <w:rFonts w:asciiTheme="minorHAnsi" w:eastAsia="PMingLiU" w:hAnsiTheme="minorHAnsi" w:cstheme="minorHAnsi"/>
          <w:lang w:eastAsia="zh-TW"/>
        </w:rPr>
        <w:t xml:space="preserve"> 2.1 of the Agreement with respect to the definition of “</w:t>
      </w:r>
      <w:r w:rsidRPr="00655860">
        <w:rPr>
          <w:rFonts w:asciiTheme="minorHAnsi" w:eastAsia="PMingLiU" w:hAnsiTheme="minorHAnsi" w:cstheme="minorHAnsi"/>
          <w:b/>
          <w:lang w:eastAsia="zh-TW"/>
        </w:rPr>
        <w:t>Act of Insolvency</w:t>
      </w:r>
      <w:r w:rsidRPr="00655860">
        <w:rPr>
          <w:rFonts w:asciiTheme="minorHAnsi" w:eastAsia="PMingLiU" w:hAnsiTheme="minorHAnsi" w:cstheme="minorHAnsi"/>
          <w:lang w:eastAsia="zh-TW"/>
        </w:rPr>
        <w:t>” is supplemented by adding the following:</w:t>
      </w:r>
    </w:p>
    <w:p w14:paraId="4913C22E" w14:textId="77777777" w:rsidR="0014085D" w:rsidRPr="00655860" w:rsidRDefault="00C8140D" w:rsidP="006E125C">
      <w:pPr>
        <w:spacing w:before="240" w:after="120"/>
        <w:ind w:left="1800" w:right="360" w:hanging="720"/>
        <w:jc w:val="both"/>
        <w:rPr>
          <w:rFonts w:asciiTheme="minorHAnsi" w:hAnsiTheme="minorHAnsi" w:cstheme="minorHAnsi"/>
          <w:lang w:eastAsia="zh-CN"/>
        </w:rPr>
      </w:pPr>
      <w:r w:rsidRPr="00655860">
        <w:rPr>
          <w:rFonts w:asciiTheme="minorHAnsi" w:hAnsiTheme="minorHAnsi" w:cstheme="minorHAnsi"/>
          <w:lang w:val="en-GB" w:eastAsia="zh-CN"/>
        </w:rPr>
        <w:t>“</w:t>
      </w:r>
      <w:r w:rsidRPr="00655860">
        <w:rPr>
          <w:rFonts w:asciiTheme="minorHAnsi" w:hAnsiTheme="minorHAnsi" w:cstheme="minorHAnsi"/>
          <w:i/>
          <w:lang w:val="en-GB" w:eastAsia="zh-CN"/>
        </w:rPr>
        <w:t>(g)</w:t>
      </w:r>
      <w:r w:rsidRPr="00655860">
        <w:rPr>
          <w:rFonts w:asciiTheme="minorHAnsi" w:hAnsiTheme="minorHAnsi" w:cstheme="minorHAnsi"/>
          <w:i/>
          <w:lang w:val="en-GB" w:eastAsia="zh-CN"/>
        </w:rPr>
        <w:tab/>
        <w:t xml:space="preserve">In this Agreement, “Act of Insolvency” shall include the exercise of powers by a regulator having jurisdiction to do so over </w:t>
      </w:r>
      <w:r w:rsidRPr="00655860">
        <w:rPr>
          <w:rFonts w:asciiTheme="minorHAnsi" w:hAnsiTheme="minorHAnsi" w:cstheme="minorHAnsi"/>
          <w:b/>
          <w:i/>
          <w:lang w:val="en-GB" w:eastAsia="zh-CN"/>
        </w:rPr>
        <w:t>[</w:t>
      </w:r>
      <w:r w:rsidRPr="00655860">
        <w:rPr>
          <w:rFonts w:asciiTheme="minorHAnsi" w:hAnsiTheme="minorHAnsi" w:cstheme="minorHAnsi"/>
          <w:i/>
          <w:lang w:val="en-GB" w:eastAsia="zh-CN"/>
        </w:rPr>
        <w:t>Party A/ Party B</w:t>
      </w:r>
      <w:r w:rsidRPr="00655860">
        <w:rPr>
          <w:rFonts w:asciiTheme="minorHAnsi" w:hAnsiTheme="minorHAnsi" w:cstheme="minorHAnsi"/>
          <w:b/>
          <w:i/>
          <w:lang w:val="en-GB" w:eastAsia="zh-CN"/>
        </w:rPr>
        <w:t xml:space="preserve">] </w:t>
      </w:r>
      <w:r w:rsidRPr="00655860">
        <w:rPr>
          <w:rFonts w:asciiTheme="minorHAnsi" w:hAnsiTheme="minorHAnsi" w:cstheme="minorHAnsi"/>
          <w:i/>
          <w:lang w:val="en-GB" w:eastAsia="zh-CN"/>
        </w:rPr>
        <w:t xml:space="preserve">of its whole or </w:t>
      </w:r>
      <w:r w:rsidRPr="00655860">
        <w:rPr>
          <w:rFonts w:asciiTheme="minorHAnsi" w:hAnsiTheme="minorHAnsi" w:cstheme="minorHAnsi"/>
          <w:i/>
          <w:iCs/>
          <w:lang w:val="en-GB" w:eastAsia="zh-CN"/>
        </w:rPr>
        <w:t>part of its assets, liabilities, businesses or affairs and manage the whole or part of its assets, liabilities including disposal of its assets or businesses or any part thereof</w:t>
      </w:r>
      <w:r w:rsidRPr="00655860">
        <w:rPr>
          <w:rFonts w:asciiTheme="minorHAnsi" w:hAnsiTheme="minorHAnsi" w:cstheme="minorHAnsi"/>
          <w:i/>
          <w:lang w:val="en-GB" w:eastAsia="zh-CN"/>
        </w:rPr>
        <w:t xml:space="preserve">, or a person appointed by any regulator, over </w:t>
      </w:r>
      <w:r w:rsidRPr="00655860">
        <w:rPr>
          <w:rFonts w:asciiTheme="minorHAnsi" w:hAnsiTheme="minorHAnsi" w:cstheme="minorHAnsi"/>
          <w:b/>
          <w:i/>
          <w:lang w:val="en-GB" w:eastAsia="zh-CN"/>
        </w:rPr>
        <w:t>[</w:t>
      </w:r>
      <w:r w:rsidRPr="00655860">
        <w:rPr>
          <w:rFonts w:asciiTheme="minorHAnsi" w:hAnsiTheme="minorHAnsi" w:cstheme="minorHAnsi"/>
          <w:i/>
          <w:lang w:val="en-GB" w:eastAsia="zh-CN"/>
        </w:rPr>
        <w:t>Party A/ Party B</w:t>
      </w:r>
      <w:r w:rsidRPr="00655860">
        <w:rPr>
          <w:rFonts w:asciiTheme="minorHAnsi" w:hAnsiTheme="minorHAnsi" w:cstheme="minorHAnsi"/>
          <w:b/>
          <w:i/>
          <w:lang w:val="en-GB" w:eastAsia="zh-CN"/>
        </w:rPr>
        <w:t>]</w:t>
      </w:r>
      <w:r w:rsidRPr="00655860">
        <w:rPr>
          <w:rFonts w:asciiTheme="minorHAnsi" w:hAnsiTheme="minorHAnsi" w:cstheme="minorHAnsi"/>
          <w:i/>
          <w:lang w:val="en-GB" w:eastAsia="zh-CN"/>
        </w:rPr>
        <w:t xml:space="preserve"> or a notice of any intention to do so.</w:t>
      </w:r>
      <w:r w:rsidRPr="00655860">
        <w:rPr>
          <w:rStyle w:val="FootnoteReference"/>
          <w:rFonts w:asciiTheme="minorHAnsi" w:hAnsiTheme="minorHAnsi" w:cstheme="minorHAnsi"/>
          <w:lang w:val="en-GB" w:eastAsia="zh-CN"/>
        </w:rPr>
        <w:footnoteReference w:id="8"/>
      </w:r>
    </w:p>
    <w:p w14:paraId="160D4909" w14:textId="77777777" w:rsidR="00E20DBD" w:rsidRPr="00655860" w:rsidRDefault="00C8140D" w:rsidP="00F71468">
      <w:pPr>
        <w:numPr>
          <w:ilvl w:val="1"/>
          <w:numId w:val="15"/>
        </w:numPr>
        <w:spacing w:before="120" w:after="120"/>
        <w:ind w:hanging="720"/>
        <w:jc w:val="both"/>
        <w:rPr>
          <w:rFonts w:asciiTheme="minorHAnsi" w:hAnsiTheme="minorHAnsi" w:cstheme="minorHAnsi"/>
          <w:lang w:eastAsia="zh-CN"/>
        </w:rPr>
      </w:pPr>
      <w:r w:rsidRPr="00655860">
        <w:rPr>
          <w:rFonts w:asciiTheme="minorHAnsi" w:hAnsiTheme="minorHAnsi" w:cstheme="minorHAnsi"/>
          <w:lang w:eastAsia="zh-CN"/>
        </w:rPr>
        <w:t>For the purposes of paragraph 4.1 of the Agreement, as delivery of Malaysian Securities is subject to both Parties’ effecting the necessary confirmations in the SBLNT System through their respective representatives, the Party that is the Approved SBLNT Lender shall be deemed to have complied with its obligations under paragraph 4.1 of the Agreement with respect to effecting delivery of the loaned Malaysian Securities under a Malaysian Loan where its Lending Representative had done all the acts required under the Clearing House Rules relating to an SBLNT to effect delivery of those loaned Malaysian Securities even though the loaned Malaysian Securities were not transferred into the Securities Account of the Approved SBLNT Borrower by reason of any omission of or by the Approved SBLNT Borrower or its Borrowing Representative.</w:t>
      </w:r>
    </w:p>
    <w:p w14:paraId="16B7AE72" w14:textId="77777777" w:rsidR="00E20DBD" w:rsidRPr="00655860" w:rsidRDefault="00C8140D" w:rsidP="00F71468">
      <w:pPr>
        <w:numPr>
          <w:ilvl w:val="1"/>
          <w:numId w:val="15"/>
        </w:numPr>
        <w:spacing w:before="120" w:after="120"/>
        <w:ind w:hanging="720"/>
        <w:jc w:val="both"/>
        <w:rPr>
          <w:rFonts w:asciiTheme="minorHAnsi" w:hAnsiTheme="minorHAnsi" w:cstheme="minorHAnsi"/>
          <w:lang w:eastAsia="zh-CN"/>
        </w:rPr>
      </w:pPr>
      <w:r w:rsidRPr="00655860">
        <w:rPr>
          <w:rFonts w:asciiTheme="minorHAnsi" w:hAnsiTheme="minorHAnsi" w:cstheme="minorHAnsi"/>
          <w:lang w:eastAsia="zh-CN"/>
        </w:rPr>
        <w:t>For the purposes of obtaining the benefit of any Malaysian tax exemption or remission</w:t>
      </w:r>
      <w:r w:rsidRPr="00655860">
        <w:rPr>
          <w:rStyle w:val="FootnoteReference"/>
          <w:rFonts w:asciiTheme="minorHAnsi" w:hAnsiTheme="minorHAnsi" w:cstheme="minorHAnsi"/>
          <w:lang w:eastAsia="zh-CN"/>
        </w:rPr>
        <w:footnoteReference w:id="9"/>
      </w:r>
      <w:r w:rsidRPr="00655860">
        <w:rPr>
          <w:rFonts w:asciiTheme="minorHAnsi" w:hAnsiTheme="minorHAnsi" w:cstheme="minorHAnsi"/>
          <w:lang w:eastAsia="zh-CN"/>
        </w:rPr>
        <w:t>:</w:t>
      </w:r>
    </w:p>
    <w:p w14:paraId="1FAC0C87" w14:textId="77777777" w:rsidR="00E20DBD" w:rsidRPr="00655860" w:rsidRDefault="00C8140D" w:rsidP="00F71468">
      <w:pPr>
        <w:pStyle w:val="BodyTextIndent"/>
        <w:numPr>
          <w:ilvl w:val="0"/>
          <w:numId w:val="16"/>
        </w:numPr>
        <w:spacing w:before="120"/>
        <w:ind w:left="1440" w:hanging="720"/>
        <w:rPr>
          <w:rFonts w:asciiTheme="minorHAnsi" w:hAnsiTheme="minorHAnsi" w:cstheme="minorHAnsi"/>
          <w:sz w:val="24"/>
          <w:szCs w:val="24"/>
        </w:rPr>
      </w:pPr>
      <w:r w:rsidRPr="00655860">
        <w:rPr>
          <w:rFonts w:asciiTheme="minorHAnsi" w:hAnsiTheme="minorHAnsi" w:cstheme="minorHAnsi"/>
          <w:sz w:val="24"/>
          <w:szCs w:val="24"/>
        </w:rPr>
        <w:lastRenderedPageBreak/>
        <w:t>each Party must ensure that the Loaned Malaysian Securities are free from Restrictions; and</w:t>
      </w:r>
    </w:p>
    <w:p w14:paraId="26696AF7" w14:textId="77777777" w:rsidR="00E20DBD" w:rsidRPr="00655860" w:rsidRDefault="00C8140D" w:rsidP="00F71468">
      <w:pPr>
        <w:pStyle w:val="BodyTextIndent"/>
        <w:numPr>
          <w:ilvl w:val="0"/>
          <w:numId w:val="16"/>
        </w:numPr>
        <w:spacing w:before="120"/>
        <w:ind w:left="1440" w:hanging="720"/>
        <w:rPr>
          <w:rFonts w:asciiTheme="minorHAnsi" w:hAnsiTheme="minorHAnsi" w:cstheme="minorHAnsi"/>
          <w:sz w:val="24"/>
          <w:szCs w:val="24"/>
        </w:rPr>
      </w:pPr>
      <w:r w:rsidRPr="00655860">
        <w:rPr>
          <w:rFonts w:asciiTheme="minorHAnsi" w:hAnsiTheme="minorHAnsi" w:cstheme="minorHAnsi"/>
          <w:sz w:val="24"/>
          <w:szCs w:val="24"/>
        </w:rPr>
        <w:t xml:space="preserve">the Parties agree that any payment or delivery under paragraphs 5.4(b) and (c) </w:t>
      </w:r>
      <w:r w:rsidRPr="00655860">
        <w:rPr>
          <w:rFonts w:asciiTheme="minorHAnsi" w:hAnsiTheme="minorHAnsi" w:cstheme="minorHAnsi"/>
          <w:b/>
          <w:sz w:val="24"/>
          <w:szCs w:val="24"/>
        </w:rPr>
        <w:t>[</w:t>
      </w:r>
      <w:r w:rsidRPr="00655860">
        <w:rPr>
          <w:rFonts w:asciiTheme="minorHAnsi" w:hAnsiTheme="minorHAnsi" w:cstheme="minorHAnsi"/>
          <w:color w:val="0070C0"/>
          <w:sz w:val="24"/>
          <w:szCs w:val="24"/>
        </w:rPr>
        <w:t>/</w:t>
      </w:r>
      <w:r w:rsidRPr="00655860">
        <w:rPr>
          <w:rFonts w:asciiTheme="minorHAnsi" w:hAnsiTheme="minorHAnsi" w:cstheme="minorHAnsi"/>
          <w:sz w:val="24"/>
          <w:szCs w:val="24"/>
        </w:rPr>
        <w:t xml:space="preserve"> </w:t>
      </w:r>
      <w:r w:rsidRPr="00655860">
        <w:rPr>
          <w:rFonts w:asciiTheme="minorHAnsi" w:hAnsiTheme="minorHAnsi" w:cstheme="minorHAnsi"/>
          <w:color w:val="0070C0"/>
          <w:sz w:val="24"/>
          <w:szCs w:val="24"/>
        </w:rPr>
        <w:t>5.4(ii) and (iii)</w:t>
      </w:r>
      <w:r w:rsidRPr="00655860">
        <w:rPr>
          <w:rFonts w:asciiTheme="minorHAnsi" w:hAnsiTheme="minorHAnsi" w:cstheme="minorHAnsi"/>
          <w:b/>
          <w:sz w:val="24"/>
          <w:szCs w:val="24"/>
        </w:rPr>
        <w:t>]</w:t>
      </w:r>
      <w:r w:rsidRPr="00655860">
        <w:rPr>
          <w:rFonts w:asciiTheme="minorHAnsi" w:hAnsiTheme="minorHAnsi" w:cstheme="minorHAnsi"/>
          <w:sz w:val="24"/>
          <w:szCs w:val="24"/>
        </w:rPr>
        <w:t xml:space="preserve">, or as the case may be, 5.5(b) and (c) </w:t>
      </w:r>
      <w:r w:rsidRPr="00655860">
        <w:rPr>
          <w:rFonts w:asciiTheme="minorHAnsi" w:hAnsiTheme="minorHAnsi" w:cstheme="minorHAnsi"/>
          <w:b/>
          <w:sz w:val="24"/>
          <w:szCs w:val="24"/>
        </w:rPr>
        <w:t>[</w:t>
      </w:r>
      <w:r w:rsidRPr="00655860">
        <w:rPr>
          <w:rFonts w:asciiTheme="minorHAnsi" w:hAnsiTheme="minorHAnsi" w:cstheme="minorHAnsi"/>
          <w:color w:val="0070C0"/>
          <w:sz w:val="24"/>
          <w:szCs w:val="24"/>
        </w:rPr>
        <w:t>/</w:t>
      </w:r>
      <w:r w:rsidRPr="00655860">
        <w:rPr>
          <w:rFonts w:asciiTheme="minorHAnsi" w:hAnsiTheme="minorHAnsi" w:cstheme="minorHAnsi"/>
          <w:sz w:val="24"/>
          <w:szCs w:val="24"/>
        </w:rPr>
        <w:t xml:space="preserve"> </w:t>
      </w:r>
      <w:r w:rsidRPr="00655860">
        <w:rPr>
          <w:rFonts w:asciiTheme="minorHAnsi" w:hAnsiTheme="minorHAnsi" w:cstheme="minorHAnsi"/>
          <w:color w:val="0070C0"/>
          <w:sz w:val="24"/>
          <w:szCs w:val="24"/>
        </w:rPr>
        <w:t>5.5(ii) and (iii)</w:t>
      </w:r>
      <w:r w:rsidRPr="00655860">
        <w:rPr>
          <w:rFonts w:asciiTheme="minorHAnsi" w:hAnsiTheme="minorHAnsi" w:cstheme="minorHAnsi"/>
          <w:b/>
          <w:sz w:val="24"/>
          <w:szCs w:val="24"/>
        </w:rPr>
        <w:t>]</w:t>
      </w:r>
      <w:r w:rsidRPr="00655860">
        <w:rPr>
          <w:rFonts w:asciiTheme="minorHAnsi" w:hAnsiTheme="minorHAnsi" w:cstheme="minorHAnsi"/>
          <w:color w:val="0070C0"/>
          <w:sz w:val="24"/>
          <w:szCs w:val="24"/>
        </w:rPr>
        <w:t xml:space="preserve"> </w:t>
      </w:r>
      <w:r w:rsidRPr="00655860">
        <w:rPr>
          <w:rFonts w:asciiTheme="minorHAnsi" w:hAnsiTheme="minorHAnsi" w:cstheme="minorHAnsi"/>
          <w:sz w:val="24"/>
          <w:szCs w:val="24"/>
        </w:rPr>
        <w:t>of the Agreement for any deficiency or excess Collateral would be effected without the need for any demand.</w:t>
      </w:r>
    </w:p>
    <w:p w14:paraId="353949FE" w14:textId="77777777" w:rsidR="00E20DBD" w:rsidRPr="00655860" w:rsidRDefault="00C8140D" w:rsidP="00F71468">
      <w:pPr>
        <w:numPr>
          <w:ilvl w:val="1"/>
          <w:numId w:val="15"/>
        </w:numPr>
        <w:spacing w:before="120" w:after="120"/>
        <w:ind w:hanging="720"/>
        <w:jc w:val="both"/>
        <w:rPr>
          <w:rFonts w:asciiTheme="minorHAnsi" w:hAnsiTheme="minorHAnsi" w:cstheme="minorHAnsi"/>
          <w:lang w:eastAsia="zh-CN"/>
        </w:rPr>
      </w:pPr>
      <w:r w:rsidRPr="00655860">
        <w:rPr>
          <w:rFonts w:asciiTheme="minorHAnsi" w:hAnsiTheme="minorHAnsi" w:cstheme="minorHAnsi"/>
          <w:lang w:eastAsia="zh-CN"/>
        </w:rPr>
        <w:t xml:space="preserve">Paragraph 14 </w:t>
      </w:r>
      <w:r w:rsidRPr="00655860">
        <w:rPr>
          <w:rFonts w:asciiTheme="minorHAnsi" w:hAnsiTheme="minorHAnsi" w:cstheme="minorHAnsi"/>
          <w:b/>
        </w:rPr>
        <w:t>[</w:t>
      </w:r>
      <w:r w:rsidRPr="00655860">
        <w:rPr>
          <w:rFonts w:asciiTheme="minorHAnsi" w:hAnsiTheme="minorHAnsi" w:cstheme="minorHAnsi"/>
          <w:color w:val="0070C0"/>
        </w:rPr>
        <w:t>10</w:t>
      </w:r>
      <w:r w:rsidRPr="00655860">
        <w:rPr>
          <w:rFonts w:asciiTheme="minorHAnsi" w:hAnsiTheme="minorHAnsi" w:cstheme="minorHAnsi"/>
          <w:b/>
        </w:rPr>
        <w:t>]</w:t>
      </w:r>
      <w:r w:rsidRPr="00655860">
        <w:rPr>
          <w:rFonts w:asciiTheme="minorHAnsi" w:hAnsiTheme="minorHAnsi" w:cstheme="minorHAnsi"/>
          <w:lang w:eastAsia="zh-CN"/>
        </w:rPr>
        <w:t xml:space="preserve"> of the Agreement is supplemented by:</w:t>
      </w:r>
    </w:p>
    <w:p w14:paraId="71D85AF4" w14:textId="77777777" w:rsidR="00E20DBD" w:rsidRPr="00655860" w:rsidRDefault="00C8140D" w:rsidP="00232AE4">
      <w:pPr>
        <w:spacing w:before="120" w:after="120"/>
        <w:ind w:left="1800" w:right="360" w:hanging="720"/>
        <w:jc w:val="both"/>
        <w:rPr>
          <w:rFonts w:asciiTheme="minorHAnsi" w:hAnsiTheme="minorHAnsi" w:cstheme="minorHAnsi"/>
          <w:lang w:eastAsia="zh-CN"/>
        </w:rPr>
      </w:pPr>
      <w:r w:rsidRPr="00655860">
        <w:rPr>
          <w:rFonts w:asciiTheme="minorHAnsi" w:hAnsiTheme="minorHAnsi" w:cstheme="minorHAnsi"/>
          <w:lang w:eastAsia="zh-CN"/>
        </w:rPr>
        <w:t>“</w:t>
      </w:r>
      <w:r w:rsidRPr="00655860">
        <w:rPr>
          <w:rFonts w:asciiTheme="minorHAnsi" w:hAnsiTheme="minorHAnsi" w:cstheme="minorHAnsi"/>
          <w:i/>
          <w:lang w:eastAsia="zh-CN"/>
        </w:rPr>
        <w:t xml:space="preserve">14.1 (xi) </w:t>
      </w:r>
      <w:r w:rsidRPr="00655860">
        <w:rPr>
          <w:rFonts w:asciiTheme="minorHAnsi" w:hAnsiTheme="minorHAnsi" w:cstheme="minorHAnsi"/>
          <w:b/>
          <w:i/>
        </w:rPr>
        <w:t>[</w:t>
      </w:r>
      <w:r w:rsidRPr="00655860">
        <w:rPr>
          <w:rFonts w:asciiTheme="minorHAnsi" w:hAnsiTheme="minorHAnsi" w:cstheme="minorHAnsi"/>
          <w:i/>
          <w:color w:val="0070C0"/>
        </w:rPr>
        <w:t>10(j)</w:t>
      </w:r>
      <w:r w:rsidRPr="00655860">
        <w:rPr>
          <w:rFonts w:asciiTheme="minorHAnsi" w:hAnsiTheme="minorHAnsi" w:cstheme="minorHAnsi"/>
          <w:b/>
          <w:i/>
        </w:rPr>
        <w:t>]</w:t>
      </w:r>
      <w:r w:rsidRPr="00655860">
        <w:rPr>
          <w:rFonts w:asciiTheme="minorHAnsi" w:hAnsiTheme="minorHAnsi" w:cstheme="minorHAnsi"/>
          <w:i/>
          <w:lang w:eastAsia="zh-CN"/>
        </w:rPr>
        <w:tab/>
        <w:t>a Party (1) as an Approved SBLNT Lender (if applicable) or Approved SBLNT Borrower failing to comply with any of the rules and circulars of the Clearing House, Malaysian Stock Exchange or Central Depository in relation to any SBLNT entered into between the Parties</w:t>
      </w:r>
      <w:r w:rsidRPr="00655860">
        <w:rPr>
          <w:rFonts w:asciiTheme="minorHAnsi" w:hAnsiTheme="minorHAnsi" w:cstheme="minorHAnsi"/>
          <w:i/>
          <w:lang w:val="en-GB" w:eastAsia="zh-CN"/>
        </w:rPr>
        <w:t xml:space="preserve"> or (2) ceasing to be approved by the Clearing House to enter into SBLNT</w:t>
      </w:r>
      <w:r w:rsidRPr="00655860">
        <w:rPr>
          <w:rFonts w:asciiTheme="minorHAnsi" w:hAnsiTheme="minorHAnsi" w:cstheme="minorHAnsi"/>
          <w:i/>
          <w:lang w:eastAsia="zh-CN"/>
        </w:rPr>
        <w:t>.</w:t>
      </w:r>
      <w:r w:rsidRPr="00655860">
        <w:rPr>
          <w:rFonts w:asciiTheme="minorHAnsi" w:hAnsiTheme="minorHAnsi" w:cstheme="minorHAnsi"/>
          <w:lang w:eastAsia="zh-CN"/>
        </w:rPr>
        <w:t>”</w:t>
      </w:r>
    </w:p>
    <w:p w14:paraId="14264000" w14:textId="77777777" w:rsidR="00E20DBD" w:rsidRPr="00655860" w:rsidRDefault="00C8140D" w:rsidP="00E6747A">
      <w:pPr>
        <w:numPr>
          <w:ilvl w:val="1"/>
          <w:numId w:val="15"/>
        </w:numPr>
        <w:spacing w:before="120" w:after="120"/>
        <w:ind w:hanging="720"/>
        <w:jc w:val="both"/>
        <w:rPr>
          <w:rFonts w:asciiTheme="minorHAnsi" w:hAnsiTheme="minorHAnsi" w:cstheme="minorHAnsi"/>
          <w:lang w:eastAsia="zh-CN"/>
        </w:rPr>
      </w:pPr>
      <w:r w:rsidRPr="00655860">
        <w:rPr>
          <w:rFonts w:asciiTheme="minorHAnsi" w:hAnsiTheme="minorHAnsi" w:cstheme="minorHAnsi"/>
          <w:lang w:eastAsia="zh-CN"/>
        </w:rPr>
        <w:t xml:space="preserve">Paragraph 12 </w:t>
      </w:r>
      <w:r w:rsidRPr="00655860">
        <w:rPr>
          <w:rFonts w:asciiTheme="minorHAnsi" w:hAnsiTheme="minorHAnsi" w:cstheme="minorHAnsi"/>
          <w:b/>
        </w:rPr>
        <w:t>[</w:t>
      </w:r>
      <w:r w:rsidRPr="00655860">
        <w:rPr>
          <w:rFonts w:asciiTheme="minorHAnsi" w:hAnsiTheme="minorHAnsi" w:cstheme="minorHAnsi"/>
          <w:color w:val="0070C0"/>
        </w:rPr>
        <w:t>13</w:t>
      </w:r>
      <w:r w:rsidRPr="00655860">
        <w:rPr>
          <w:rFonts w:asciiTheme="minorHAnsi" w:hAnsiTheme="minorHAnsi" w:cstheme="minorHAnsi"/>
          <w:b/>
        </w:rPr>
        <w:t xml:space="preserve">] </w:t>
      </w:r>
      <w:r w:rsidRPr="00655860">
        <w:rPr>
          <w:rFonts w:asciiTheme="minorHAnsi" w:hAnsiTheme="minorHAnsi" w:cstheme="minorHAnsi"/>
          <w:lang w:eastAsia="zh-CN"/>
        </w:rPr>
        <w:t>of the Agreement is supplemented by:</w:t>
      </w:r>
    </w:p>
    <w:p w14:paraId="1A71EF22" w14:textId="77777777" w:rsidR="00E20DBD" w:rsidRPr="00655860" w:rsidRDefault="00C8140D" w:rsidP="00232AE4">
      <w:pPr>
        <w:spacing w:before="120" w:after="120"/>
        <w:ind w:left="1800" w:right="360" w:hanging="720"/>
        <w:jc w:val="both"/>
        <w:rPr>
          <w:rFonts w:asciiTheme="minorHAnsi" w:hAnsiTheme="minorHAnsi" w:cstheme="minorHAnsi"/>
          <w:lang w:eastAsia="zh-CN"/>
        </w:rPr>
      </w:pPr>
      <w:r w:rsidRPr="00655860">
        <w:rPr>
          <w:rFonts w:asciiTheme="minorHAnsi" w:hAnsiTheme="minorHAnsi" w:cstheme="minorHAnsi"/>
          <w:lang w:eastAsia="zh-CN"/>
        </w:rPr>
        <w:t>“</w:t>
      </w:r>
      <w:r w:rsidRPr="00655860">
        <w:rPr>
          <w:rFonts w:asciiTheme="minorHAnsi" w:hAnsiTheme="minorHAnsi" w:cstheme="minorHAnsi"/>
          <w:i/>
          <w:lang w:eastAsia="zh-CN"/>
        </w:rPr>
        <w:t>(e)</w:t>
      </w:r>
      <w:r w:rsidRPr="00655860">
        <w:rPr>
          <w:rFonts w:asciiTheme="minorHAnsi" w:hAnsiTheme="minorHAnsi" w:cstheme="minorHAnsi"/>
          <w:i/>
          <w:lang w:eastAsia="zh-CN"/>
        </w:rPr>
        <w:tab/>
      </w:r>
      <w:r w:rsidRPr="00655860">
        <w:rPr>
          <w:rFonts w:asciiTheme="minorHAnsi" w:hAnsiTheme="minorHAnsi" w:cstheme="minorHAnsi"/>
          <w:i/>
        </w:rPr>
        <w:t>it has been approved by the Clearing House to participate in an SBLNT as an Approved SBLNT Lender and such approval has not been withdrawn, suspended or revoked</w:t>
      </w:r>
      <w:r w:rsidRPr="00655860">
        <w:rPr>
          <w:rFonts w:asciiTheme="minorHAnsi" w:hAnsiTheme="minorHAnsi" w:cstheme="minorHAnsi"/>
        </w:rPr>
        <w:t>.”</w:t>
      </w:r>
      <w:r w:rsidRPr="00655860">
        <w:rPr>
          <w:rStyle w:val="FootnoteReference"/>
          <w:rFonts w:asciiTheme="minorHAnsi" w:hAnsiTheme="minorHAnsi" w:cstheme="minorHAnsi"/>
          <w:lang w:eastAsia="zh-CN"/>
        </w:rPr>
        <w:footnoteReference w:id="10"/>
      </w:r>
    </w:p>
    <w:p w14:paraId="1FEFA87F" w14:textId="77777777" w:rsidR="00E20DBD" w:rsidRPr="00655860" w:rsidRDefault="00C8140D" w:rsidP="00297B27">
      <w:pPr>
        <w:numPr>
          <w:ilvl w:val="1"/>
          <w:numId w:val="15"/>
        </w:numPr>
        <w:spacing w:before="120" w:after="120"/>
        <w:ind w:hanging="720"/>
        <w:jc w:val="both"/>
        <w:rPr>
          <w:rFonts w:asciiTheme="minorHAnsi" w:hAnsiTheme="minorHAnsi" w:cstheme="minorHAnsi"/>
          <w:lang w:eastAsia="zh-CN"/>
        </w:rPr>
      </w:pPr>
      <w:r w:rsidRPr="00655860">
        <w:rPr>
          <w:rFonts w:asciiTheme="minorHAnsi" w:hAnsiTheme="minorHAnsi" w:cstheme="minorHAnsi"/>
          <w:lang w:eastAsia="zh-CN"/>
        </w:rPr>
        <w:t xml:space="preserve">Paragraph 13 </w:t>
      </w:r>
      <w:r w:rsidRPr="00655860">
        <w:rPr>
          <w:rFonts w:asciiTheme="minorHAnsi" w:hAnsiTheme="minorHAnsi" w:cstheme="minorHAnsi"/>
          <w:b/>
        </w:rPr>
        <w:t>[</w:t>
      </w:r>
      <w:r w:rsidRPr="00655860">
        <w:rPr>
          <w:rFonts w:asciiTheme="minorHAnsi" w:hAnsiTheme="minorHAnsi" w:cstheme="minorHAnsi"/>
          <w:color w:val="0070C0"/>
        </w:rPr>
        <w:t>14</w:t>
      </w:r>
      <w:r w:rsidRPr="00655860">
        <w:rPr>
          <w:rFonts w:asciiTheme="minorHAnsi" w:hAnsiTheme="minorHAnsi" w:cstheme="minorHAnsi"/>
          <w:b/>
        </w:rPr>
        <w:t xml:space="preserve">] </w:t>
      </w:r>
      <w:r w:rsidRPr="00655860">
        <w:rPr>
          <w:rFonts w:asciiTheme="minorHAnsi" w:hAnsiTheme="minorHAnsi" w:cstheme="minorHAnsi"/>
          <w:lang w:eastAsia="zh-CN"/>
        </w:rPr>
        <w:t>of the Agreement is supplemented by:</w:t>
      </w:r>
    </w:p>
    <w:p w14:paraId="481FCC01" w14:textId="77777777" w:rsidR="00E20DBD" w:rsidRPr="00655860" w:rsidRDefault="00C8140D" w:rsidP="00232AE4">
      <w:pPr>
        <w:spacing w:before="120" w:after="120"/>
        <w:ind w:left="1800" w:right="360" w:hanging="720"/>
        <w:jc w:val="both"/>
        <w:rPr>
          <w:rFonts w:asciiTheme="minorHAnsi" w:hAnsiTheme="minorHAnsi" w:cstheme="minorHAnsi"/>
        </w:rPr>
      </w:pPr>
      <w:r w:rsidRPr="00655860">
        <w:rPr>
          <w:rFonts w:asciiTheme="minorHAnsi" w:hAnsiTheme="minorHAnsi" w:cstheme="minorHAnsi"/>
          <w:lang w:eastAsia="zh-CN"/>
        </w:rPr>
        <w:t>“</w:t>
      </w:r>
      <w:r w:rsidRPr="00655860">
        <w:rPr>
          <w:rFonts w:asciiTheme="minorHAnsi" w:hAnsiTheme="minorHAnsi" w:cstheme="minorHAnsi"/>
          <w:i/>
          <w:lang w:eastAsia="zh-CN"/>
        </w:rPr>
        <w:t>(e)</w:t>
      </w:r>
      <w:r w:rsidRPr="00655860">
        <w:rPr>
          <w:rFonts w:asciiTheme="minorHAnsi" w:hAnsiTheme="minorHAnsi" w:cstheme="minorHAnsi"/>
          <w:i/>
          <w:lang w:eastAsia="zh-CN"/>
        </w:rPr>
        <w:tab/>
      </w:r>
      <w:r w:rsidRPr="00655860">
        <w:rPr>
          <w:rFonts w:asciiTheme="minorHAnsi" w:hAnsiTheme="minorHAnsi" w:cstheme="minorHAnsi"/>
          <w:i/>
        </w:rPr>
        <w:t>it has been approved by the Clearing House to participate in an SBLNT as an Approved SBLNT Borrower and such approval has not been withdrawn, suspended or revoked.</w:t>
      </w:r>
      <w:r w:rsidRPr="00655860">
        <w:rPr>
          <w:rFonts w:asciiTheme="minorHAnsi" w:hAnsiTheme="minorHAnsi" w:cstheme="minorHAnsi"/>
        </w:rPr>
        <w:t>”</w:t>
      </w:r>
      <w:r w:rsidRPr="00655860">
        <w:rPr>
          <w:rStyle w:val="FootnoteReference"/>
          <w:rFonts w:asciiTheme="minorHAnsi" w:hAnsiTheme="minorHAnsi" w:cstheme="minorHAnsi"/>
        </w:rPr>
        <w:footnoteReference w:id="11"/>
      </w:r>
    </w:p>
    <w:p w14:paraId="06E2213A" w14:textId="77777777" w:rsidR="00E20DBD" w:rsidRPr="00655860" w:rsidRDefault="00C8140D" w:rsidP="00297B27">
      <w:pPr>
        <w:numPr>
          <w:ilvl w:val="0"/>
          <w:numId w:val="15"/>
        </w:numPr>
        <w:spacing w:before="360" w:after="120"/>
        <w:ind w:hanging="720"/>
        <w:jc w:val="both"/>
        <w:rPr>
          <w:rFonts w:asciiTheme="minorHAnsi" w:hAnsiTheme="minorHAnsi" w:cstheme="minorHAnsi"/>
          <w:b/>
        </w:rPr>
      </w:pPr>
      <w:r w:rsidRPr="00655860">
        <w:rPr>
          <w:rFonts w:asciiTheme="minorHAnsi" w:hAnsiTheme="minorHAnsi" w:cstheme="minorHAnsi"/>
          <w:b/>
          <w:bCs/>
        </w:rPr>
        <w:t>WARRANTIES</w:t>
      </w:r>
    </w:p>
    <w:p w14:paraId="2C215FE6" w14:textId="77777777" w:rsidR="00E20DBD" w:rsidRPr="00655860" w:rsidRDefault="00C8140D" w:rsidP="00EE3561">
      <w:pPr>
        <w:spacing w:before="120" w:after="120"/>
        <w:ind w:left="720"/>
        <w:jc w:val="both"/>
        <w:rPr>
          <w:rFonts w:asciiTheme="minorHAnsi" w:hAnsiTheme="minorHAnsi" w:cstheme="minorHAnsi"/>
        </w:rPr>
      </w:pPr>
      <w:r w:rsidRPr="00655860">
        <w:rPr>
          <w:rFonts w:asciiTheme="minorHAnsi" w:hAnsiTheme="minorHAnsi" w:cstheme="minorHAnsi"/>
        </w:rPr>
        <w:t>Each Party warrants to the other that:</w:t>
      </w:r>
    </w:p>
    <w:p w14:paraId="1768CC61" w14:textId="77777777" w:rsidR="00EE3561" w:rsidRPr="00655860" w:rsidRDefault="00C8140D" w:rsidP="00EE3561">
      <w:pPr>
        <w:numPr>
          <w:ilvl w:val="0"/>
          <w:numId w:val="5"/>
        </w:numPr>
        <w:spacing w:before="120" w:after="120"/>
        <w:jc w:val="both"/>
        <w:rPr>
          <w:rFonts w:asciiTheme="minorHAnsi" w:hAnsiTheme="minorHAnsi" w:cstheme="minorHAnsi"/>
          <w:lang w:val="en-GB"/>
        </w:rPr>
      </w:pPr>
      <w:r w:rsidRPr="00655860">
        <w:rPr>
          <w:rFonts w:asciiTheme="minorHAnsi" w:hAnsiTheme="minorHAnsi" w:cstheme="minorHAnsi"/>
          <w:lang w:val="en-GB"/>
        </w:rPr>
        <w:t>where it transacts as an Approved SBLNT Borrower:</w:t>
      </w:r>
    </w:p>
    <w:p w14:paraId="2A756634" w14:textId="77777777" w:rsidR="00EE3561" w:rsidRPr="00655860" w:rsidRDefault="00C8140D" w:rsidP="00EE3561">
      <w:pPr>
        <w:numPr>
          <w:ilvl w:val="0"/>
          <w:numId w:val="17"/>
        </w:numPr>
        <w:spacing w:before="120" w:after="120"/>
        <w:ind w:hanging="720"/>
        <w:jc w:val="both"/>
        <w:rPr>
          <w:rFonts w:asciiTheme="minorHAnsi" w:hAnsiTheme="minorHAnsi" w:cstheme="minorHAnsi"/>
          <w:lang w:val="en-GB"/>
        </w:rPr>
      </w:pPr>
      <w:r w:rsidRPr="00655860">
        <w:rPr>
          <w:rFonts w:asciiTheme="minorHAnsi" w:hAnsiTheme="minorHAnsi" w:cstheme="minorHAnsi"/>
          <w:lang w:val="en-GB"/>
        </w:rPr>
        <w:t xml:space="preserve">it will ensure that the securities to be borrowed are Malaysian Securities; </w:t>
      </w:r>
    </w:p>
    <w:p w14:paraId="74DE9EDF" w14:textId="77777777" w:rsidR="00E20DBD" w:rsidRPr="00655860" w:rsidRDefault="00C8140D" w:rsidP="00EE3561">
      <w:pPr>
        <w:numPr>
          <w:ilvl w:val="0"/>
          <w:numId w:val="17"/>
        </w:numPr>
        <w:spacing w:before="120" w:after="120"/>
        <w:ind w:hanging="720"/>
        <w:jc w:val="both"/>
        <w:rPr>
          <w:rFonts w:asciiTheme="minorHAnsi" w:hAnsiTheme="minorHAnsi" w:cstheme="minorHAnsi"/>
          <w:lang w:val="en-GB"/>
        </w:rPr>
      </w:pPr>
      <w:r w:rsidRPr="00655860">
        <w:rPr>
          <w:rFonts w:asciiTheme="minorHAnsi" w:hAnsiTheme="minorHAnsi" w:cstheme="minorHAnsi"/>
          <w:lang w:val="en-GB"/>
        </w:rPr>
        <w:t>its borrowing of Malaysian Securities complies with one of the approved purposes as prescribed by the Clearing House in its rules for an SBLNT;</w:t>
      </w:r>
    </w:p>
    <w:p w14:paraId="1B81C3E1" w14:textId="77777777" w:rsidR="003178FE" w:rsidRPr="00655860" w:rsidRDefault="00C8140D" w:rsidP="00410673">
      <w:pPr>
        <w:numPr>
          <w:ilvl w:val="0"/>
          <w:numId w:val="17"/>
        </w:numPr>
        <w:spacing w:before="120" w:after="120"/>
        <w:ind w:hanging="720"/>
        <w:jc w:val="both"/>
        <w:rPr>
          <w:rFonts w:asciiTheme="minorHAnsi" w:hAnsiTheme="minorHAnsi" w:cstheme="minorHAnsi"/>
          <w:lang w:val="en-GB"/>
        </w:rPr>
      </w:pPr>
      <w:r w:rsidRPr="00655860">
        <w:rPr>
          <w:rFonts w:asciiTheme="minorHAnsi" w:hAnsiTheme="minorHAnsi" w:cstheme="minorHAnsi"/>
          <w:lang w:val="en-GB"/>
        </w:rPr>
        <w:t xml:space="preserve">it will notify the Approved SBLNT Lender where it is </w:t>
      </w:r>
      <w:r w:rsidRPr="00655860">
        <w:rPr>
          <w:rFonts w:asciiTheme="minorHAnsi" w:hAnsiTheme="minorHAnsi" w:cstheme="minorHAnsi"/>
        </w:rPr>
        <w:t xml:space="preserve">unable to deliver the Malaysian Securities by the expiry of the notice given by the Approved SBLNT Lender pursuant to paragraph 8.1 or 8.2 </w:t>
      </w:r>
      <w:r w:rsidRPr="00655860">
        <w:rPr>
          <w:rFonts w:asciiTheme="minorHAnsi" w:hAnsiTheme="minorHAnsi" w:cstheme="minorHAnsi"/>
          <w:b/>
        </w:rPr>
        <w:t>[</w:t>
      </w:r>
      <w:r w:rsidRPr="00655860">
        <w:rPr>
          <w:rFonts w:asciiTheme="minorHAnsi" w:hAnsiTheme="minorHAnsi" w:cstheme="minorHAnsi"/>
          <w:color w:val="0070C0"/>
        </w:rPr>
        <w:t>8.1</w:t>
      </w:r>
      <w:r w:rsidRPr="00655860">
        <w:rPr>
          <w:rFonts w:asciiTheme="minorHAnsi" w:hAnsiTheme="minorHAnsi" w:cstheme="minorHAnsi"/>
          <w:b/>
        </w:rPr>
        <w:t>]</w:t>
      </w:r>
      <w:r w:rsidRPr="00655860">
        <w:rPr>
          <w:rFonts w:asciiTheme="minorHAnsi" w:hAnsiTheme="minorHAnsi" w:cstheme="minorHAnsi"/>
        </w:rPr>
        <w:t xml:space="preserve"> of the Agreement.</w:t>
      </w:r>
    </w:p>
    <w:p w14:paraId="5C4453BF" w14:textId="77777777" w:rsidR="00E20DBD" w:rsidRPr="00655860" w:rsidRDefault="00C8140D" w:rsidP="00EE3561">
      <w:pPr>
        <w:numPr>
          <w:ilvl w:val="0"/>
          <w:numId w:val="5"/>
        </w:numPr>
        <w:spacing w:before="120" w:after="120"/>
        <w:jc w:val="both"/>
        <w:rPr>
          <w:rFonts w:asciiTheme="minorHAnsi" w:hAnsiTheme="minorHAnsi" w:cstheme="minorHAnsi"/>
          <w:bCs/>
          <w:iCs/>
        </w:rPr>
      </w:pPr>
      <w:r w:rsidRPr="00655860">
        <w:rPr>
          <w:rFonts w:asciiTheme="minorHAnsi" w:hAnsiTheme="minorHAnsi" w:cstheme="minorHAnsi"/>
        </w:rPr>
        <w:lastRenderedPageBreak/>
        <w:t>for so long as any Malaysian Loan remains outstanding, it shall not close, or it shall use reasonable efforts to ensure no closure of, its Securities Account.</w:t>
      </w:r>
    </w:p>
    <w:p w14:paraId="444DAB64" w14:textId="77777777" w:rsidR="00E20DBD" w:rsidRPr="00655860" w:rsidRDefault="00C8140D" w:rsidP="00EE3561">
      <w:pPr>
        <w:numPr>
          <w:ilvl w:val="0"/>
          <w:numId w:val="5"/>
        </w:numPr>
        <w:spacing w:before="120" w:after="120"/>
        <w:jc w:val="both"/>
        <w:rPr>
          <w:rFonts w:asciiTheme="minorHAnsi" w:hAnsiTheme="minorHAnsi" w:cstheme="minorHAnsi"/>
          <w:bCs/>
          <w:iCs/>
        </w:rPr>
      </w:pPr>
      <w:r w:rsidRPr="00655860">
        <w:rPr>
          <w:rFonts w:asciiTheme="minorHAnsi" w:hAnsiTheme="minorHAnsi" w:cstheme="minorHAnsi"/>
        </w:rPr>
        <w:t>it will give the appropriate instructions to its Lending Representative or, as the case may be, Borrowing Representative, to effect the entries and confirmations in the SBLNT System for:</w:t>
      </w:r>
    </w:p>
    <w:p w14:paraId="72B4EF78" w14:textId="77777777" w:rsidR="00E20DBD" w:rsidRPr="00655860" w:rsidRDefault="00C8140D" w:rsidP="00EE3561">
      <w:pPr>
        <w:numPr>
          <w:ilvl w:val="2"/>
          <w:numId w:val="13"/>
        </w:numPr>
        <w:tabs>
          <w:tab w:val="clear" w:pos="2160"/>
        </w:tabs>
        <w:spacing w:before="120" w:after="120"/>
        <w:ind w:hanging="720"/>
        <w:jc w:val="both"/>
        <w:rPr>
          <w:rFonts w:asciiTheme="minorHAnsi" w:hAnsiTheme="minorHAnsi" w:cstheme="minorHAnsi"/>
          <w:bCs/>
          <w:iCs/>
        </w:rPr>
      </w:pPr>
      <w:r w:rsidRPr="00655860">
        <w:rPr>
          <w:rFonts w:asciiTheme="minorHAnsi" w:hAnsiTheme="minorHAnsi" w:cstheme="minorHAnsi"/>
        </w:rPr>
        <w:t>delivery of loaned Malaysian Securities under a Malaysian Loan;</w:t>
      </w:r>
    </w:p>
    <w:p w14:paraId="2253CE20" w14:textId="77777777" w:rsidR="00E20DBD" w:rsidRPr="00655860" w:rsidRDefault="00C8140D" w:rsidP="00EE3561">
      <w:pPr>
        <w:numPr>
          <w:ilvl w:val="2"/>
          <w:numId w:val="13"/>
        </w:numPr>
        <w:tabs>
          <w:tab w:val="clear" w:pos="2160"/>
        </w:tabs>
        <w:spacing w:before="120" w:after="120"/>
        <w:ind w:hanging="720"/>
        <w:jc w:val="both"/>
        <w:rPr>
          <w:rFonts w:asciiTheme="minorHAnsi" w:hAnsiTheme="minorHAnsi" w:cstheme="minorHAnsi"/>
          <w:bCs/>
          <w:iCs/>
        </w:rPr>
      </w:pPr>
      <w:r w:rsidRPr="00655860">
        <w:rPr>
          <w:rFonts w:asciiTheme="minorHAnsi" w:hAnsiTheme="minorHAnsi" w:cstheme="minorHAnsi"/>
        </w:rPr>
        <w:t>any adjustment or variation of the Malaysian Securities loaned under an outstanding Malaysian Loan including, without limitation, adjustment pursuant to a corporate action;</w:t>
      </w:r>
    </w:p>
    <w:p w14:paraId="04175B19" w14:textId="77777777" w:rsidR="00E20DBD" w:rsidRPr="00655860" w:rsidRDefault="00C8140D" w:rsidP="00EE3561">
      <w:pPr>
        <w:numPr>
          <w:ilvl w:val="2"/>
          <w:numId w:val="13"/>
        </w:numPr>
        <w:tabs>
          <w:tab w:val="clear" w:pos="2160"/>
        </w:tabs>
        <w:spacing w:before="120" w:after="120"/>
        <w:ind w:hanging="720"/>
        <w:jc w:val="both"/>
        <w:rPr>
          <w:rFonts w:asciiTheme="minorHAnsi" w:hAnsiTheme="minorHAnsi" w:cstheme="minorHAnsi"/>
          <w:bCs/>
          <w:iCs/>
        </w:rPr>
      </w:pPr>
      <w:r w:rsidRPr="00655860">
        <w:rPr>
          <w:rFonts w:asciiTheme="minorHAnsi" w:hAnsiTheme="minorHAnsi" w:cstheme="minorHAnsi"/>
        </w:rPr>
        <w:t>return in full or partially the loaned Malaysian Securities; and</w:t>
      </w:r>
    </w:p>
    <w:p w14:paraId="0F0E8DC6" w14:textId="77777777" w:rsidR="00E20DBD" w:rsidRPr="00655860" w:rsidRDefault="00C8140D" w:rsidP="00EE3561">
      <w:pPr>
        <w:numPr>
          <w:ilvl w:val="2"/>
          <w:numId w:val="13"/>
        </w:numPr>
        <w:tabs>
          <w:tab w:val="clear" w:pos="2160"/>
        </w:tabs>
        <w:spacing w:before="120" w:after="120"/>
        <w:ind w:hanging="720"/>
        <w:jc w:val="both"/>
        <w:rPr>
          <w:rFonts w:asciiTheme="minorHAnsi" w:hAnsiTheme="minorHAnsi" w:cstheme="minorHAnsi"/>
          <w:bCs/>
          <w:iCs/>
        </w:rPr>
      </w:pPr>
      <w:r w:rsidRPr="00655860">
        <w:rPr>
          <w:rFonts w:asciiTheme="minorHAnsi" w:hAnsiTheme="minorHAnsi" w:cstheme="minorHAnsi"/>
        </w:rPr>
        <w:t>termination of a Malaysian Loan without return of loaned Malaysian Securities.</w:t>
      </w:r>
    </w:p>
    <w:p w14:paraId="3C61A78B" w14:textId="77777777" w:rsidR="00E20DBD" w:rsidRPr="00655860" w:rsidRDefault="00C8140D" w:rsidP="00EE3561">
      <w:pPr>
        <w:numPr>
          <w:ilvl w:val="0"/>
          <w:numId w:val="5"/>
        </w:numPr>
        <w:spacing w:before="120" w:after="120"/>
        <w:jc w:val="both"/>
        <w:rPr>
          <w:rFonts w:asciiTheme="minorHAnsi" w:hAnsiTheme="minorHAnsi" w:cstheme="minorHAnsi"/>
        </w:rPr>
      </w:pPr>
      <w:r w:rsidRPr="00655860">
        <w:rPr>
          <w:rFonts w:asciiTheme="minorHAnsi" w:hAnsiTheme="minorHAnsi" w:cstheme="minorHAnsi"/>
        </w:rPr>
        <w:t>it is fully aware of, and in compliance with, the terms of the SBL Circulars, the Clearing House Rules and the Central Depository rules and regulations and Malaysian Stock Exchange rules and regulations applicable to it.</w:t>
      </w:r>
    </w:p>
    <w:p w14:paraId="09654555" w14:textId="77777777" w:rsidR="00E20DBD" w:rsidRPr="00655860" w:rsidRDefault="00C8140D" w:rsidP="006A28AB">
      <w:pPr>
        <w:numPr>
          <w:ilvl w:val="0"/>
          <w:numId w:val="15"/>
        </w:numPr>
        <w:spacing w:before="360" w:after="120"/>
        <w:ind w:hanging="720"/>
        <w:jc w:val="both"/>
        <w:rPr>
          <w:rFonts w:asciiTheme="minorHAnsi" w:hAnsiTheme="minorHAnsi" w:cstheme="minorHAnsi"/>
          <w:b/>
        </w:rPr>
      </w:pPr>
      <w:r w:rsidRPr="00655860">
        <w:rPr>
          <w:rFonts w:asciiTheme="minorHAnsi" w:hAnsiTheme="minorHAnsi" w:cstheme="minorHAnsi"/>
          <w:b/>
        </w:rPr>
        <w:t>MISCELLANEOUS</w:t>
      </w:r>
      <w:r w:rsidRPr="00655860">
        <w:rPr>
          <w:rFonts w:asciiTheme="minorHAnsi" w:hAnsiTheme="minorHAnsi" w:cstheme="minorHAnsi"/>
          <w:b/>
        </w:rPr>
        <w:tab/>
      </w:r>
    </w:p>
    <w:p w14:paraId="0D218C73" w14:textId="77777777" w:rsidR="00E20DBD" w:rsidRPr="00655860" w:rsidRDefault="00C8140D" w:rsidP="006A28AB">
      <w:pPr>
        <w:numPr>
          <w:ilvl w:val="1"/>
          <w:numId w:val="15"/>
        </w:numPr>
        <w:spacing w:before="120" w:after="120"/>
        <w:ind w:hanging="720"/>
        <w:jc w:val="both"/>
        <w:rPr>
          <w:rFonts w:asciiTheme="minorHAnsi" w:hAnsiTheme="minorHAnsi" w:cstheme="minorHAnsi"/>
        </w:rPr>
      </w:pPr>
      <w:r w:rsidRPr="00655860">
        <w:rPr>
          <w:rFonts w:asciiTheme="minorHAnsi" w:hAnsiTheme="minorHAnsi" w:cstheme="minorHAnsi"/>
        </w:rPr>
        <w:t xml:space="preserve">Subject to all Malaysian Loans being closed out and without prejudice to </w:t>
      </w:r>
      <w:r w:rsidRPr="00655860">
        <w:rPr>
          <w:rFonts w:asciiTheme="minorHAnsi" w:hAnsiTheme="minorHAnsi" w:cstheme="minorHAnsi"/>
          <w:lang w:eastAsia="zh-CN"/>
        </w:rPr>
        <w:t>Section</w:t>
      </w:r>
      <w:r w:rsidRPr="00655860">
        <w:rPr>
          <w:rFonts w:asciiTheme="minorHAnsi" w:hAnsiTheme="minorHAnsi" w:cstheme="minorHAnsi"/>
        </w:rPr>
        <w:t xml:space="preserve">  7.2 below, either Party may give at least fifteen (15) Business Days’ notice in writing to the other Party to terminate this Addendum (which notice shall specify the date of termination).</w:t>
      </w:r>
    </w:p>
    <w:p w14:paraId="5B15BE97" w14:textId="77777777" w:rsidR="00E20DBD" w:rsidRPr="00655860" w:rsidRDefault="00C8140D" w:rsidP="006A28AB">
      <w:pPr>
        <w:numPr>
          <w:ilvl w:val="1"/>
          <w:numId w:val="15"/>
        </w:numPr>
        <w:spacing w:before="120" w:after="120"/>
        <w:ind w:hanging="720"/>
        <w:jc w:val="both"/>
        <w:rPr>
          <w:rFonts w:asciiTheme="minorHAnsi" w:hAnsiTheme="minorHAnsi" w:cstheme="minorHAnsi"/>
        </w:rPr>
      </w:pPr>
      <w:r w:rsidRPr="00655860">
        <w:rPr>
          <w:rFonts w:asciiTheme="minorHAnsi" w:hAnsiTheme="minorHAnsi" w:cstheme="minorHAnsi"/>
        </w:rPr>
        <w:t>Termination of this Addendum shall not terminate the Agreement unless otherwise specified and effected in accordance with the terms of the Agreement.</w:t>
      </w:r>
    </w:p>
    <w:p w14:paraId="6C3D8424" w14:textId="0F010235" w:rsidR="00E20DBD" w:rsidRPr="00655860" w:rsidRDefault="00C8140D" w:rsidP="006A28AB">
      <w:pPr>
        <w:numPr>
          <w:ilvl w:val="1"/>
          <w:numId w:val="15"/>
        </w:numPr>
        <w:spacing w:before="120" w:after="120"/>
        <w:ind w:hanging="720"/>
        <w:jc w:val="both"/>
        <w:rPr>
          <w:rFonts w:asciiTheme="minorHAnsi" w:hAnsiTheme="minorHAnsi" w:cstheme="minorHAnsi"/>
        </w:rPr>
      </w:pPr>
      <w:r w:rsidRPr="00655860">
        <w:rPr>
          <w:rFonts w:asciiTheme="minorHAnsi" w:hAnsiTheme="minorHAnsi" w:cstheme="minorHAnsi"/>
          <w:b/>
        </w:rPr>
        <w:t>[</w:t>
      </w:r>
      <w:r w:rsidRPr="00655860">
        <w:rPr>
          <w:rFonts w:asciiTheme="minorHAnsi" w:hAnsiTheme="minorHAnsi" w:cstheme="minorHAnsi"/>
        </w:rPr>
        <w:t>This Addendum may be executed in any number of counterparts, each of which will be deemed to be an original and all of which shall, when taken together, constitute one and the same document.</w:t>
      </w:r>
      <w:r w:rsidRPr="00655860">
        <w:rPr>
          <w:rFonts w:asciiTheme="minorHAnsi" w:hAnsiTheme="minorHAnsi" w:cstheme="minorHAnsi"/>
          <w:b/>
        </w:rPr>
        <w:t>]</w:t>
      </w:r>
      <w:r w:rsidRPr="00655860">
        <w:rPr>
          <w:rStyle w:val="FootnoteReference"/>
          <w:rFonts w:asciiTheme="minorHAnsi" w:hAnsiTheme="minorHAnsi" w:cstheme="minorHAnsi"/>
        </w:rPr>
        <w:footnoteReference w:id="12"/>
      </w:r>
    </w:p>
    <w:p w14:paraId="445383DF" w14:textId="77777777" w:rsidR="00245CA9" w:rsidRPr="00655860" w:rsidRDefault="00245CA9" w:rsidP="00245CA9">
      <w:pPr>
        <w:numPr>
          <w:ilvl w:val="0"/>
          <w:numId w:val="15"/>
        </w:numPr>
        <w:spacing w:before="360" w:after="120"/>
        <w:ind w:hanging="720"/>
        <w:jc w:val="both"/>
        <w:rPr>
          <w:rFonts w:asciiTheme="minorHAnsi" w:hAnsiTheme="minorHAnsi" w:cstheme="minorHAnsi"/>
          <w:b/>
          <w:bCs/>
        </w:rPr>
      </w:pPr>
      <w:r w:rsidRPr="00655860">
        <w:rPr>
          <w:rFonts w:asciiTheme="minorHAnsi" w:hAnsiTheme="minorHAnsi" w:cstheme="minorHAnsi"/>
          <w:b/>
          <w:bCs/>
        </w:rPr>
        <w:t>GOVERNING LAW</w:t>
      </w:r>
    </w:p>
    <w:p w14:paraId="13692419" w14:textId="21FD91A7" w:rsidR="00245CA9" w:rsidRPr="00655860" w:rsidRDefault="00245CA9" w:rsidP="00245CA9">
      <w:pPr>
        <w:spacing w:before="120" w:after="120"/>
        <w:ind w:left="720"/>
        <w:jc w:val="both"/>
        <w:rPr>
          <w:rFonts w:asciiTheme="minorHAnsi" w:hAnsiTheme="minorHAnsi" w:cstheme="minorHAnsi"/>
        </w:rPr>
      </w:pPr>
      <w:r w:rsidRPr="00655860">
        <w:rPr>
          <w:rFonts w:asciiTheme="minorHAnsi" w:hAnsiTheme="minorHAnsi" w:cstheme="minorHAnsi"/>
          <w:b/>
          <w:bCs/>
        </w:rPr>
        <w:t>[</w:t>
      </w:r>
      <w:r w:rsidRPr="00655860">
        <w:rPr>
          <w:rFonts w:asciiTheme="minorHAnsi" w:hAnsiTheme="minorHAnsi" w:cstheme="minorHAnsi"/>
        </w:rPr>
        <w:t xml:space="preserve">This Addendum shall be governed by, and construed in accordance with, English law. Each party irrevocably agrees for the benefit of the other that the courts of England and Wales shall have exclusive jurisdiction to settle any disputes which may arise in connection with this Addendum and, for such purposes, irrevocably submits to the jurisdiction of such courts. Each party irrevocably waives any objection that it may now or hereafter have to such courts being nominated as </w:t>
      </w:r>
      <w:r w:rsidRPr="00655860">
        <w:rPr>
          <w:rFonts w:asciiTheme="minorHAnsi" w:hAnsiTheme="minorHAnsi" w:cstheme="minorHAnsi"/>
        </w:rPr>
        <w:lastRenderedPageBreak/>
        <w:t>the forum to settle any disputes, and agrees not to claim that any such court is not a convenient or appropriate forum.</w:t>
      </w:r>
      <w:r w:rsidRPr="00655860">
        <w:rPr>
          <w:rFonts w:asciiTheme="minorHAnsi" w:hAnsiTheme="minorHAnsi" w:cstheme="minorHAnsi"/>
          <w:b/>
          <w:bCs/>
        </w:rPr>
        <w:t>]</w:t>
      </w:r>
      <w:r w:rsidRPr="00655860">
        <w:rPr>
          <w:rStyle w:val="FootnoteReference"/>
          <w:rFonts w:asciiTheme="minorHAnsi" w:hAnsiTheme="minorHAnsi" w:cstheme="minorHAnsi"/>
        </w:rPr>
        <w:footnoteReference w:id="13"/>
      </w:r>
    </w:p>
    <w:p w14:paraId="0F033864" w14:textId="77777777" w:rsidR="00D9676A" w:rsidRPr="00655860" w:rsidRDefault="0045720C" w:rsidP="00245CA9">
      <w:pPr>
        <w:spacing w:before="120" w:after="120"/>
        <w:ind w:left="360"/>
        <w:jc w:val="both"/>
        <w:rPr>
          <w:rFonts w:asciiTheme="minorHAnsi" w:hAnsiTheme="minorHAnsi" w:cstheme="minorHAnsi"/>
        </w:rPr>
      </w:pPr>
    </w:p>
    <w:p w14:paraId="0997099B" w14:textId="77777777" w:rsidR="0067279B" w:rsidRPr="00655860" w:rsidRDefault="00C8140D">
      <w:pPr>
        <w:rPr>
          <w:rFonts w:asciiTheme="minorHAnsi" w:hAnsiTheme="minorHAnsi" w:cstheme="minorHAnsi"/>
        </w:rPr>
      </w:pPr>
      <w:r w:rsidRPr="00655860">
        <w:rPr>
          <w:rFonts w:asciiTheme="minorHAnsi" w:hAnsiTheme="minorHAnsi" w:cstheme="minorHAnsi"/>
        </w:rPr>
        <w:br w:type="page"/>
      </w:r>
    </w:p>
    <w:p w14:paraId="02583868" w14:textId="77777777" w:rsidR="00E20DBD" w:rsidRPr="00655860" w:rsidRDefault="00C8140D" w:rsidP="00D0139B">
      <w:pPr>
        <w:jc w:val="both"/>
        <w:rPr>
          <w:rFonts w:asciiTheme="minorHAnsi" w:hAnsiTheme="minorHAnsi" w:cstheme="minorHAnsi"/>
        </w:rPr>
      </w:pPr>
      <w:r w:rsidRPr="00655860">
        <w:rPr>
          <w:rFonts w:asciiTheme="minorHAnsi" w:hAnsiTheme="minorHAnsi" w:cstheme="minorHAnsi"/>
          <w:b/>
        </w:rPr>
        <w:lastRenderedPageBreak/>
        <w:t xml:space="preserve">EXECUTED </w:t>
      </w:r>
      <w:r w:rsidRPr="00655860">
        <w:rPr>
          <w:rFonts w:asciiTheme="minorHAnsi" w:hAnsiTheme="minorHAnsi" w:cstheme="minorHAnsi"/>
        </w:rPr>
        <w:t xml:space="preserve">by the </w:t>
      </w:r>
      <w:r w:rsidRPr="00655860">
        <w:rPr>
          <w:rFonts w:asciiTheme="minorHAnsi" w:hAnsiTheme="minorHAnsi" w:cstheme="minorHAnsi"/>
          <w:b/>
        </w:rPr>
        <w:t xml:space="preserve">PARTIES </w:t>
      </w:r>
      <w:r w:rsidRPr="00655860">
        <w:rPr>
          <w:rFonts w:asciiTheme="minorHAnsi" w:hAnsiTheme="minorHAnsi" w:cstheme="minorHAnsi"/>
        </w:rPr>
        <w:t>on the date first stated above</w:t>
      </w:r>
      <w:r w:rsidRPr="00655860">
        <w:rPr>
          <w:rStyle w:val="FootnoteReference"/>
          <w:rFonts w:asciiTheme="minorHAnsi" w:hAnsiTheme="minorHAnsi" w:cstheme="minorHAnsi"/>
        </w:rPr>
        <w:footnoteReference w:id="14"/>
      </w:r>
      <w:r w:rsidRPr="00655860">
        <w:rPr>
          <w:rFonts w:asciiTheme="minorHAnsi" w:hAnsiTheme="minorHAnsi" w:cstheme="minorHAnsi"/>
        </w:rPr>
        <w:t>.</w:t>
      </w:r>
    </w:p>
    <w:p w14:paraId="0D78B0FF" w14:textId="77777777" w:rsidR="0067279B" w:rsidRPr="00655860" w:rsidRDefault="0045720C" w:rsidP="00D0139B">
      <w:pPr>
        <w:jc w:val="both"/>
        <w:rPr>
          <w:rFonts w:asciiTheme="minorHAnsi" w:hAnsiTheme="minorHAnsi" w:cstheme="minorHAnsi"/>
        </w:rPr>
      </w:pPr>
    </w:p>
    <w:p w14:paraId="6A2AD77D" w14:textId="77777777" w:rsidR="0067279B" w:rsidRPr="00655860" w:rsidRDefault="00C8140D" w:rsidP="00A20525">
      <w:pPr>
        <w:spacing w:before="840"/>
        <w:jc w:val="both"/>
        <w:rPr>
          <w:rFonts w:asciiTheme="minorHAnsi" w:hAnsiTheme="minorHAnsi" w:cstheme="minorHAnsi"/>
          <w:sz w:val="22"/>
          <w:szCs w:val="22"/>
        </w:rPr>
      </w:pPr>
      <w:r w:rsidRPr="00655860">
        <w:rPr>
          <w:rFonts w:asciiTheme="minorHAnsi" w:hAnsiTheme="minorHAnsi" w:cstheme="minorHAnsi"/>
        </w:rPr>
        <w:t>Signed by</w:t>
      </w:r>
      <w:r w:rsidRPr="00655860">
        <w:rPr>
          <w:rFonts w:asciiTheme="minorHAnsi" w:hAnsiTheme="minorHAnsi" w:cstheme="minorHAnsi"/>
        </w:rPr>
        <w:tab/>
      </w:r>
      <w:r w:rsidRPr="00655860">
        <w:rPr>
          <w:rFonts w:asciiTheme="minorHAnsi" w:hAnsiTheme="minorHAnsi" w:cstheme="minorHAnsi"/>
        </w:rPr>
        <w:tab/>
      </w:r>
      <w:r w:rsidRPr="00655860">
        <w:rPr>
          <w:rFonts w:asciiTheme="minorHAnsi" w:hAnsiTheme="minorHAnsi" w:cstheme="minorHAnsi"/>
        </w:rPr>
        <w:tab/>
        <w:t>)</w:t>
      </w:r>
      <w:r w:rsidRPr="00655860">
        <w:rPr>
          <w:rFonts w:asciiTheme="minorHAnsi" w:hAnsiTheme="minorHAnsi" w:cstheme="minorHAnsi"/>
        </w:rPr>
        <w:br/>
      </w:r>
      <w:r w:rsidRPr="00655860">
        <w:rPr>
          <w:rFonts w:asciiTheme="minorHAnsi" w:hAnsiTheme="minorHAnsi" w:cstheme="minorHAnsi"/>
        </w:rPr>
        <w:tab/>
      </w:r>
      <w:r w:rsidRPr="00655860">
        <w:rPr>
          <w:rFonts w:asciiTheme="minorHAnsi" w:hAnsiTheme="minorHAnsi" w:cstheme="minorHAnsi"/>
        </w:rPr>
        <w:tab/>
      </w:r>
      <w:r w:rsidRPr="00655860">
        <w:rPr>
          <w:rFonts w:asciiTheme="minorHAnsi" w:hAnsiTheme="minorHAnsi" w:cstheme="minorHAnsi"/>
        </w:rPr>
        <w:tab/>
      </w:r>
      <w:r w:rsidRPr="00655860">
        <w:rPr>
          <w:rFonts w:asciiTheme="minorHAnsi" w:hAnsiTheme="minorHAnsi" w:cstheme="minorHAnsi"/>
        </w:rPr>
        <w:tab/>
        <w:t>)</w:t>
      </w:r>
      <w:r w:rsidRPr="00655860">
        <w:rPr>
          <w:rFonts w:asciiTheme="minorHAnsi" w:hAnsiTheme="minorHAnsi" w:cstheme="minorHAnsi"/>
        </w:rPr>
        <w:br/>
        <w:t>Duly authorised for and on</w:t>
      </w:r>
      <w:r w:rsidRPr="00655860">
        <w:rPr>
          <w:rFonts w:asciiTheme="minorHAnsi" w:hAnsiTheme="minorHAnsi" w:cstheme="minorHAnsi"/>
        </w:rPr>
        <w:tab/>
        <w:t>)</w:t>
      </w:r>
      <w:r w:rsidRPr="00655860">
        <w:rPr>
          <w:rFonts w:asciiTheme="minorHAnsi" w:hAnsiTheme="minorHAnsi" w:cstheme="minorHAnsi"/>
        </w:rPr>
        <w:br/>
        <w:t>behalf of</w:t>
      </w:r>
      <w:r w:rsidRPr="00655860">
        <w:rPr>
          <w:rFonts w:asciiTheme="minorHAnsi" w:hAnsiTheme="minorHAnsi" w:cstheme="minorHAnsi"/>
        </w:rPr>
        <w:tab/>
      </w:r>
      <w:r w:rsidRPr="00655860">
        <w:rPr>
          <w:rFonts w:asciiTheme="minorHAnsi" w:hAnsiTheme="minorHAnsi" w:cstheme="minorHAnsi"/>
        </w:rPr>
        <w:tab/>
      </w:r>
      <w:r w:rsidRPr="00655860">
        <w:rPr>
          <w:rFonts w:asciiTheme="minorHAnsi" w:hAnsiTheme="minorHAnsi" w:cstheme="minorHAnsi"/>
        </w:rPr>
        <w:tab/>
        <w:t>)</w:t>
      </w:r>
    </w:p>
    <w:p w14:paraId="0899D7BD" w14:textId="77777777" w:rsidR="0067279B" w:rsidRPr="00655860" w:rsidRDefault="0045720C" w:rsidP="0067279B">
      <w:pPr>
        <w:jc w:val="both"/>
        <w:rPr>
          <w:rFonts w:asciiTheme="minorHAnsi" w:hAnsiTheme="minorHAnsi" w:cstheme="minorHAnsi"/>
          <w:sz w:val="22"/>
          <w:szCs w:val="22"/>
        </w:rPr>
      </w:pPr>
    </w:p>
    <w:p w14:paraId="10F634C5" w14:textId="77777777" w:rsidR="0067279B" w:rsidRPr="00655860" w:rsidRDefault="0045720C" w:rsidP="0067279B">
      <w:pPr>
        <w:jc w:val="both"/>
        <w:rPr>
          <w:rFonts w:asciiTheme="minorHAnsi" w:hAnsiTheme="minorHAnsi" w:cstheme="minorHAnsi"/>
          <w:sz w:val="22"/>
          <w:szCs w:val="22"/>
        </w:rPr>
      </w:pPr>
    </w:p>
    <w:p w14:paraId="50532B81" w14:textId="77777777" w:rsidR="0067279B" w:rsidRPr="00655860" w:rsidRDefault="0045720C" w:rsidP="0067279B">
      <w:pPr>
        <w:jc w:val="both"/>
        <w:rPr>
          <w:rFonts w:asciiTheme="minorHAnsi" w:hAnsiTheme="minorHAnsi" w:cstheme="minorHAnsi"/>
          <w:sz w:val="22"/>
          <w:szCs w:val="22"/>
        </w:rPr>
      </w:pPr>
    </w:p>
    <w:p w14:paraId="21B8C7B6" w14:textId="77777777" w:rsidR="0067279B" w:rsidRPr="00655860" w:rsidRDefault="0045720C" w:rsidP="0067279B">
      <w:pPr>
        <w:jc w:val="both"/>
        <w:rPr>
          <w:rFonts w:asciiTheme="minorHAnsi" w:hAnsiTheme="minorHAnsi" w:cstheme="minorHAnsi"/>
          <w:sz w:val="22"/>
          <w:szCs w:val="22"/>
        </w:rPr>
      </w:pPr>
    </w:p>
    <w:p w14:paraId="48D24E69" w14:textId="77777777" w:rsidR="0067279B" w:rsidRPr="00655860" w:rsidRDefault="0045720C" w:rsidP="0067279B">
      <w:pPr>
        <w:jc w:val="both"/>
        <w:rPr>
          <w:rFonts w:asciiTheme="minorHAnsi" w:hAnsiTheme="minorHAnsi" w:cstheme="minorHAnsi"/>
          <w:sz w:val="22"/>
          <w:szCs w:val="22"/>
        </w:rPr>
      </w:pPr>
    </w:p>
    <w:p w14:paraId="4716DBF3" w14:textId="55BAE2A8" w:rsidR="0067279B" w:rsidRPr="00655860" w:rsidRDefault="00C8140D" w:rsidP="0067279B">
      <w:pPr>
        <w:jc w:val="both"/>
        <w:rPr>
          <w:rFonts w:asciiTheme="minorHAnsi" w:hAnsiTheme="minorHAnsi" w:cstheme="minorHAnsi"/>
        </w:rPr>
      </w:pPr>
      <w:r w:rsidRPr="00655860">
        <w:rPr>
          <w:rFonts w:asciiTheme="minorHAnsi" w:hAnsiTheme="minorHAnsi" w:cstheme="minorHAnsi"/>
        </w:rPr>
        <w:t>Signed by</w:t>
      </w:r>
      <w:r w:rsidRPr="00655860">
        <w:rPr>
          <w:rFonts w:asciiTheme="minorHAnsi" w:hAnsiTheme="minorHAnsi" w:cstheme="minorHAnsi"/>
        </w:rPr>
        <w:tab/>
      </w:r>
      <w:r w:rsidRPr="00655860">
        <w:rPr>
          <w:rFonts w:asciiTheme="minorHAnsi" w:hAnsiTheme="minorHAnsi" w:cstheme="minorHAnsi"/>
        </w:rPr>
        <w:tab/>
      </w:r>
      <w:r w:rsidRPr="00655860">
        <w:rPr>
          <w:rFonts w:asciiTheme="minorHAnsi" w:hAnsiTheme="minorHAnsi" w:cstheme="minorHAnsi"/>
        </w:rPr>
        <w:tab/>
        <w:t>)</w:t>
      </w:r>
      <w:r w:rsidRPr="00655860">
        <w:rPr>
          <w:rFonts w:asciiTheme="minorHAnsi" w:hAnsiTheme="minorHAnsi" w:cstheme="minorHAnsi"/>
        </w:rPr>
        <w:br/>
      </w:r>
      <w:r w:rsidRPr="00655860">
        <w:rPr>
          <w:rFonts w:asciiTheme="minorHAnsi" w:hAnsiTheme="minorHAnsi" w:cstheme="minorHAnsi"/>
        </w:rPr>
        <w:tab/>
      </w:r>
      <w:r w:rsidRPr="00655860">
        <w:rPr>
          <w:rFonts w:asciiTheme="minorHAnsi" w:hAnsiTheme="minorHAnsi" w:cstheme="minorHAnsi"/>
        </w:rPr>
        <w:tab/>
      </w:r>
      <w:r w:rsidRPr="00655860">
        <w:rPr>
          <w:rFonts w:asciiTheme="minorHAnsi" w:hAnsiTheme="minorHAnsi" w:cstheme="minorHAnsi"/>
        </w:rPr>
        <w:tab/>
      </w:r>
      <w:r w:rsidRPr="00655860">
        <w:rPr>
          <w:rFonts w:asciiTheme="minorHAnsi" w:hAnsiTheme="minorHAnsi" w:cstheme="minorHAnsi"/>
        </w:rPr>
        <w:tab/>
        <w:t>)</w:t>
      </w:r>
      <w:r w:rsidRPr="00655860">
        <w:rPr>
          <w:rFonts w:asciiTheme="minorHAnsi" w:hAnsiTheme="minorHAnsi" w:cstheme="minorHAnsi"/>
        </w:rPr>
        <w:br/>
        <w:t>Duly authorised for and on</w:t>
      </w:r>
      <w:r w:rsidRPr="00655860">
        <w:rPr>
          <w:rFonts w:asciiTheme="minorHAnsi" w:hAnsiTheme="minorHAnsi" w:cstheme="minorHAnsi"/>
        </w:rPr>
        <w:tab/>
        <w:t>)</w:t>
      </w:r>
      <w:r w:rsidRPr="00655860">
        <w:rPr>
          <w:rFonts w:asciiTheme="minorHAnsi" w:hAnsiTheme="minorHAnsi" w:cstheme="minorHAnsi"/>
        </w:rPr>
        <w:br/>
        <w:t>behalf of</w:t>
      </w:r>
      <w:r w:rsidRPr="00655860">
        <w:rPr>
          <w:rFonts w:asciiTheme="minorHAnsi" w:hAnsiTheme="minorHAnsi" w:cstheme="minorHAnsi"/>
        </w:rPr>
        <w:tab/>
      </w:r>
      <w:r w:rsidRPr="00655860">
        <w:rPr>
          <w:rFonts w:asciiTheme="minorHAnsi" w:hAnsiTheme="minorHAnsi" w:cstheme="minorHAnsi"/>
        </w:rPr>
        <w:tab/>
      </w:r>
      <w:r w:rsidRPr="00655860">
        <w:rPr>
          <w:rFonts w:asciiTheme="minorHAnsi" w:hAnsiTheme="minorHAnsi" w:cstheme="minorHAnsi"/>
        </w:rPr>
        <w:tab/>
        <w:t>)</w:t>
      </w:r>
    </w:p>
    <w:p w14:paraId="7D9630FA" w14:textId="05E1E0E2" w:rsidR="00245CA9" w:rsidRPr="00655860" w:rsidRDefault="00245CA9" w:rsidP="0067279B">
      <w:pPr>
        <w:jc w:val="both"/>
        <w:rPr>
          <w:rFonts w:asciiTheme="minorHAnsi" w:hAnsiTheme="minorHAnsi" w:cstheme="minorHAnsi"/>
        </w:rPr>
      </w:pPr>
    </w:p>
    <w:p w14:paraId="457CED88" w14:textId="64B1536B" w:rsidR="00245CA9" w:rsidRPr="00655860" w:rsidRDefault="00245CA9" w:rsidP="0067279B">
      <w:pPr>
        <w:jc w:val="both"/>
        <w:rPr>
          <w:rFonts w:asciiTheme="minorHAnsi" w:hAnsiTheme="minorHAnsi" w:cstheme="minorHAnsi"/>
        </w:rPr>
      </w:pPr>
    </w:p>
    <w:p w14:paraId="01DA27FC" w14:textId="293CA88B" w:rsidR="00245CA9" w:rsidRPr="00655860" w:rsidRDefault="00245CA9" w:rsidP="0067279B">
      <w:pPr>
        <w:jc w:val="both"/>
        <w:rPr>
          <w:rFonts w:asciiTheme="minorHAnsi" w:hAnsiTheme="minorHAnsi" w:cstheme="minorHAnsi"/>
        </w:rPr>
      </w:pPr>
    </w:p>
    <w:p w14:paraId="171AA69B" w14:textId="74764513" w:rsidR="00245CA9" w:rsidRPr="00655860" w:rsidRDefault="00245CA9" w:rsidP="0067279B">
      <w:pPr>
        <w:jc w:val="both"/>
        <w:rPr>
          <w:rFonts w:asciiTheme="minorHAnsi" w:hAnsiTheme="minorHAnsi" w:cstheme="minorHAnsi"/>
        </w:rPr>
      </w:pPr>
    </w:p>
    <w:p w14:paraId="7844CFA7" w14:textId="02DF2D49" w:rsidR="00245CA9" w:rsidRPr="00655860" w:rsidRDefault="00245CA9" w:rsidP="0067279B">
      <w:pPr>
        <w:jc w:val="both"/>
        <w:rPr>
          <w:rFonts w:asciiTheme="minorHAnsi" w:hAnsiTheme="minorHAnsi" w:cstheme="minorHAnsi"/>
        </w:rPr>
      </w:pPr>
    </w:p>
    <w:p w14:paraId="46D9077C" w14:textId="77777777" w:rsidR="00245CA9" w:rsidRPr="00655860" w:rsidRDefault="00245CA9" w:rsidP="0067279B">
      <w:pPr>
        <w:jc w:val="both"/>
        <w:rPr>
          <w:rFonts w:asciiTheme="minorHAnsi" w:hAnsiTheme="minorHAnsi" w:cstheme="minorHAnsi"/>
        </w:rPr>
      </w:pPr>
    </w:p>
    <w:sectPr w:rsidR="00245CA9" w:rsidRPr="00655860">
      <w:footerReference w:type="even" r:id="rId7"/>
      <w:footerReference w:type="default" r:id="rId8"/>
      <w:headerReference w:type="first" r:id="rId9"/>
      <w:pgSz w:w="12240" w:h="15840"/>
      <w:pgMar w:top="1440" w:right="1800" w:bottom="1440" w:left="1800" w:header="720" w:footer="72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BFC5A9" w14:textId="77777777" w:rsidR="00E624F4" w:rsidRDefault="00E624F4">
      <w:r>
        <w:separator/>
      </w:r>
    </w:p>
  </w:endnote>
  <w:endnote w:type="continuationSeparator" w:id="0">
    <w:p w14:paraId="2C9B055D" w14:textId="77777777" w:rsidR="00E624F4" w:rsidRDefault="00E624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Batang">
    <w:altName w:val="바탕"/>
    <w:panose1 w:val="02030600000101010101"/>
    <w:charset w:val="81"/>
    <w:family w:val="roman"/>
    <w:pitch w:val="variable"/>
    <w:sig w:usb0="B00002AF" w:usb1="69D77CFB" w:usb2="00000030" w:usb3="00000000" w:csb0="0008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53B2B3" w14:textId="77777777" w:rsidR="00E20DBD" w:rsidRDefault="00C8140D">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05FB5BAA" w14:textId="77777777" w:rsidR="00E20DBD" w:rsidRDefault="0045720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8A202E" w14:textId="77777777" w:rsidR="00E20DBD" w:rsidRPr="00667883" w:rsidRDefault="0045720C" w:rsidP="00F15D77">
    <w:pPr>
      <w:pStyle w:val="Footer"/>
      <w:tabs>
        <w:tab w:val="clear" w:pos="4320"/>
        <w:tab w:val="clear" w:pos="8640"/>
        <w:tab w:val="left" w:pos="2370"/>
      </w:tabs>
      <w:rPr>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2F523D" w14:textId="77777777" w:rsidR="00E624F4" w:rsidRDefault="00E624F4">
      <w:r>
        <w:separator/>
      </w:r>
    </w:p>
  </w:footnote>
  <w:footnote w:type="continuationSeparator" w:id="0">
    <w:p w14:paraId="475263F2" w14:textId="77777777" w:rsidR="00E624F4" w:rsidRDefault="00E624F4">
      <w:r>
        <w:continuationSeparator/>
      </w:r>
    </w:p>
  </w:footnote>
  <w:footnote w:id="1">
    <w:p w14:paraId="0AAF1765" w14:textId="77777777" w:rsidR="006E125C" w:rsidRPr="009327CE" w:rsidRDefault="00C8140D" w:rsidP="00EF1A8D">
      <w:pPr>
        <w:pStyle w:val="FootnoteText"/>
        <w:ind w:left="180" w:hanging="180"/>
        <w:jc w:val="both"/>
        <w:rPr>
          <w:rFonts w:eastAsia="PMingLiU"/>
          <w:lang w:val="en-US" w:eastAsia="zh-TW"/>
        </w:rPr>
      </w:pPr>
      <w:r w:rsidRPr="009327CE">
        <w:rPr>
          <w:rStyle w:val="FootnoteReference"/>
        </w:rPr>
        <w:footnoteRef/>
      </w:r>
      <w:r w:rsidRPr="009327CE">
        <w:t xml:space="preserve"> </w:t>
      </w:r>
      <w:r w:rsidRPr="009327CE">
        <w:tab/>
      </w:r>
      <w:r w:rsidRPr="009327CE">
        <w:rPr>
          <w:rFonts w:eastAsia="PMingLiU"/>
          <w:lang w:val="en-US" w:eastAsia="zh-TW"/>
        </w:rPr>
        <w:t>List of SBL Circulars are available at</w:t>
      </w:r>
      <w:r>
        <w:rPr>
          <w:rFonts w:eastAsia="PMingLiU"/>
          <w:lang w:val="en-US" w:eastAsia="zh-TW"/>
        </w:rPr>
        <w:t xml:space="preserve"> </w:t>
      </w:r>
      <w:hyperlink r:id="rId1" w:history="1">
        <w:r w:rsidRPr="004A591E">
          <w:rPr>
            <w:rStyle w:val="Hyperlink"/>
            <w:rFonts w:eastAsia="PMingLiU"/>
            <w:lang w:val="en-US" w:eastAsia="zh-TW"/>
          </w:rPr>
          <w:t>https://www.bursamalaysia.com/trade/post_trade/securities_borrowing_lending/sbl_circulars</w:t>
        </w:r>
      </w:hyperlink>
      <w:r w:rsidRPr="009327CE">
        <w:rPr>
          <w:rFonts w:eastAsia="PMingLiU"/>
          <w:lang w:val="en-US" w:eastAsia="zh-TW"/>
        </w:rPr>
        <w:t>.</w:t>
      </w:r>
    </w:p>
  </w:footnote>
  <w:footnote w:id="2">
    <w:p w14:paraId="7A21368F" w14:textId="77777777" w:rsidR="00AF79C9" w:rsidRPr="009327CE" w:rsidRDefault="00C8140D" w:rsidP="009327CE">
      <w:pPr>
        <w:pStyle w:val="FootnoteText"/>
        <w:ind w:left="180" w:hanging="180"/>
        <w:jc w:val="both"/>
        <w:rPr>
          <w:lang w:val="en-US"/>
        </w:rPr>
      </w:pPr>
      <w:r w:rsidRPr="009327CE">
        <w:rPr>
          <w:rStyle w:val="FootnoteReference"/>
        </w:rPr>
        <w:footnoteRef/>
      </w:r>
      <w:r w:rsidRPr="009327CE">
        <w:t xml:space="preserve"> </w:t>
      </w:r>
      <w:r w:rsidRPr="009327CE">
        <w:tab/>
      </w:r>
      <w:r w:rsidRPr="009327CE">
        <w:rPr>
          <w:rFonts w:eastAsia="PMingLiU"/>
          <w:lang w:val="en-US" w:eastAsia="zh-TW"/>
        </w:rPr>
        <w:t>Rule 8.21 of Chapter</w:t>
      </w:r>
      <w:r>
        <w:rPr>
          <w:rFonts w:eastAsia="PMingLiU"/>
          <w:lang w:val="en-US" w:eastAsia="zh-TW"/>
        </w:rPr>
        <w:t xml:space="preserve"> 8 of the Clearing House Rules.</w:t>
      </w:r>
    </w:p>
  </w:footnote>
  <w:footnote w:id="3">
    <w:p w14:paraId="673706FB" w14:textId="77777777" w:rsidR="005341CC" w:rsidRPr="005341CC" w:rsidRDefault="00C8140D" w:rsidP="005341CC">
      <w:pPr>
        <w:pStyle w:val="FootnoteText"/>
        <w:ind w:left="180" w:hanging="180"/>
        <w:jc w:val="both"/>
        <w:rPr>
          <w:lang w:val="en-US"/>
        </w:rPr>
      </w:pPr>
      <w:r>
        <w:rPr>
          <w:rStyle w:val="FootnoteReference"/>
        </w:rPr>
        <w:footnoteRef/>
      </w:r>
      <w:r>
        <w:t xml:space="preserve"> </w:t>
      </w:r>
      <w:r>
        <w:rPr>
          <w:lang w:val="en-US"/>
        </w:rPr>
        <w:tab/>
        <w:t xml:space="preserve">The requirements relating to an SBLNT are mainly set out in the Clearing House Rules, SBL Circulars and the </w:t>
      </w:r>
      <w:hyperlink r:id="rId2" w:history="1">
        <w:r w:rsidRPr="005341CC">
          <w:rPr>
            <w:rStyle w:val="Hyperlink"/>
            <w:lang w:val="en-US"/>
          </w:rPr>
          <w:t>Bursa Securities Borrowing and Lending – Negotiated Transaction (SBLNT) Operational Guidelines for Lenders and Borrowers of Bursa Clearing (S) BMSC/CD/SBL/008</w:t>
        </w:r>
      </w:hyperlink>
      <w:r>
        <w:rPr>
          <w:lang w:val="en-US"/>
        </w:rPr>
        <w:t xml:space="preserve"> (</w:t>
      </w:r>
      <w:r>
        <w:rPr>
          <w:b/>
          <w:lang w:val="en-US"/>
        </w:rPr>
        <w:t>Operational Guidelines</w:t>
      </w:r>
      <w:r>
        <w:rPr>
          <w:lang w:val="en-US"/>
        </w:rPr>
        <w:t xml:space="preserve">). </w:t>
      </w:r>
    </w:p>
  </w:footnote>
  <w:footnote w:id="4">
    <w:p w14:paraId="4513AEEA" w14:textId="77777777" w:rsidR="00AF79C9" w:rsidRPr="009327CE" w:rsidRDefault="00C8140D" w:rsidP="009327CE">
      <w:pPr>
        <w:pStyle w:val="FootnoteText"/>
        <w:ind w:left="180" w:hanging="180"/>
        <w:jc w:val="both"/>
        <w:rPr>
          <w:rFonts w:eastAsia="PMingLiU"/>
          <w:lang w:val="en-US" w:eastAsia="zh-TW"/>
        </w:rPr>
      </w:pPr>
      <w:r w:rsidRPr="009327CE">
        <w:rPr>
          <w:rStyle w:val="FootnoteReference"/>
        </w:rPr>
        <w:footnoteRef/>
      </w:r>
      <w:r w:rsidRPr="009327CE">
        <w:t xml:space="preserve"> </w:t>
      </w:r>
      <w:r>
        <w:tab/>
      </w:r>
      <w:r w:rsidRPr="009327CE">
        <w:rPr>
          <w:rFonts w:eastAsia="PMingLiU"/>
          <w:lang w:val="en-US" w:eastAsia="zh-TW"/>
        </w:rPr>
        <w:t>Rule 8.15 of Chapter 8 of the Clearing House Rules.</w:t>
      </w:r>
    </w:p>
  </w:footnote>
  <w:footnote w:id="5">
    <w:p w14:paraId="1F2A17C8" w14:textId="77777777" w:rsidR="00AF79C9" w:rsidRPr="009327CE" w:rsidRDefault="00C8140D" w:rsidP="005341CC">
      <w:pPr>
        <w:pStyle w:val="FootnoteText"/>
        <w:ind w:left="180" w:hanging="180"/>
        <w:jc w:val="both"/>
        <w:rPr>
          <w:rFonts w:eastAsia="PMingLiU"/>
          <w:lang w:val="en-US" w:eastAsia="zh-TW"/>
        </w:rPr>
      </w:pPr>
      <w:r w:rsidRPr="009327CE">
        <w:rPr>
          <w:rStyle w:val="FootnoteReference"/>
        </w:rPr>
        <w:footnoteRef/>
      </w:r>
      <w:r w:rsidRPr="009327CE">
        <w:t xml:space="preserve"> </w:t>
      </w:r>
      <w:r>
        <w:tab/>
      </w:r>
      <w:r w:rsidRPr="009327CE">
        <w:rPr>
          <w:rFonts w:eastAsia="PMingLiU"/>
          <w:lang w:val="en-US" w:eastAsia="zh-TW"/>
        </w:rPr>
        <w:t>Rule 8.1 of Chapter 8 of the Clearing House Rules.</w:t>
      </w:r>
    </w:p>
  </w:footnote>
  <w:footnote w:id="6">
    <w:p w14:paraId="2CDF2627" w14:textId="77777777" w:rsidR="00AF79C9" w:rsidRPr="009327CE" w:rsidRDefault="00C8140D" w:rsidP="005341CC">
      <w:pPr>
        <w:pStyle w:val="FootnoteText"/>
        <w:ind w:left="180" w:hanging="180"/>
        <w:jc w:val="both"/>
        <w:rPr>
          <w:lang w:val="en-US"/>
        </w:rPr>
      </w:pPr>
      <w:r w:rsidRPr="009327CE">
        <w:rPr>
          <w:rStyle w:val="FootnoteReference"/>
        </w:rPr>
        <w:footnoteRef/>
      </w:r>
      <w:r w:rsidRPr="009327CE">
        <w:t xml:space="preserve"> </w:t>
      </w:r>
      <w:r>
        <w:tab/>
      </w:r>
      <w:r w:rsidRPr="009327CE">
        <w:rPr>
          <w:lang w:val="en-US"/>
        </w:rPr>
        <w:t>This is a requirement under clause 2.1.3 of the Operational Guidelines.</w:t>
      </w:r>
    </w:p>
  </w:footnote>
  <w:footnote w:id="7">
    <w:p w14:paraId="07C77F7C" w14:textId="77777777" w:rsidR="00732A7B" w:rsidRDefault="00C8140D" w:rsidP="00732A7B">
      <w:pPr>
        <w:pStyle w:val="FootnoteText"/>
        <w:ind w:left="180" w:hanging="180"/>
        <w:jc w:val="both"/>
      </w:pPr>
      <w:r>
        <w:rPr>
          <w:rStyle w:val="FootnoteReference"/>
        </w:rPr>
        <w:footnoteRef/>
      </w:r>
      <w:r>
        <w:t xml:space="preserve"> </w:t>
      </w:r>
      <w:r>
        <w:tab/>
      </w:r>
      <w:r>
        <w:rPr>
          <w:rFonts w:cs="Arial"/>
        </w:rPr>
        <w:t xml:space="preserve"> S</w:t>
      </w:r>
      <w:r w:rsidRPr="00732A7B">
        <w:rPr>
          <w:rFonts w:cs="Arial"/>
        </w:rPr>
        <w:t>elect one of the alternatives and delete other.</w:t>
      </w:r>
      <w:r>
        <w:rPr>
          <w:rFonts w:cs="Arial"/>
        </w:rPr>
        <w:t xml:space="preserve"> Paragraph 6.1 of the Operational Guidelines provides for 2 types of fee structures: (a) 0.02% (2 basis point) per annum of the outstanding loan (based on the daily closing price of the securities transacted) with a minimum of RM100 levied on both the Borrowing Representative and Lending Representative; or (b)</w:t>
      </w:r>
      <w:r w:rsidRPr="00732A7B">
        <w:rPr>
          <w:rFonts w:cs="Arial"/>
        </w:rPr>
        <w:t xml:space="preserve"> </w:t>
      </w:r>
      <w:r>
        <w:rPr>
          <w:rFonts w:cs="Arial"/>
        </w:rPr>
        <w:t>0.04% (4 basis point) per annum of the outstanding loan (based on the daily closing price of the securities transacted) with a minimum of RM200 levied on the Borrowing Representative only.</w:t>
      </w:r>
    </w:p>
  </w:footnote>
  <w:footnote w:id="8">
    <w:p w14:paraId="0B727F4F" w14:textId="77777777" w:rsidR="003B462E" w:rsidRPr="009327CE" w:rsidRDefault="00C8140D" w:rsidP="00732A7B">
      <w:pPr>
        <w:pStyle w:val="FootnoteText"/>
        <w:ind w:left="180" w:hanging="180"/>
        <w:jc w:val="both"/>
        <w:rPr>
          <w:lang w:val="en-US"/>
        </w:rPr>
      </w:pPr>
      <w:r w:rsidRPr="009327CE">
        <w:rPr>
          <w:rStyle w:val="FootnoteReference"/>
        </w:rPr>
        <w:footnoteRef/>
      </w:r>
      <w:r w:rsidRPr="009327CE">
        <w:t xml:space="preserve"> </w:t>
      </w:r>
      <w:r>
        <w:tab/>
      </w:r>
      <w:r w:rsidRPr="00732A7B">
        <w:rPr>
          <w:rFonts w:cs="Arial"/>
        </w:rPr>
        <w:t>Applicable</w:t>
      </w:r>
      <w:r>
        <w:rPr>
          <w:lang w:val="en-US"/>
        </w:rPr>
        <w:t xml:space="preserve"> only where the counterparty is a Malaysian entity</w:t>
      </w:r>
      <w:r w:rsidRPr="009327CE">
        <w:rPr>
          <w:lang w:val="en-US"/>
        </w:rPr>
        <w:t>.</w:t>
      </w:r>
    </w:p>
  </w:footnote>
  <w:footnote w:id="9">
    <w:p w14:paraId="428AA336" w14:textId="77777777" w:rsidR="00F71468" w:rsidRDefault="00C8140D" w:rsidP="00F71468">
      <w:pPr>
        <w:pStyle w:val="FootnoteText"/>
        <w:ind w:left="180" w:hanging="180"/>
        <w:jc w:val="both"/>
        <w:rPr>
          <w:lang w:val="en-US"/>
        </w:rPr>
      </w:pPr>
      <w:r>
        <w:rPr>
          <w:rStyle w:val="FootnoteReference"/>
        </w:rPr>
        <w:footnoteRef/>
      </w:r>
      <w:r>
        <w:t xml:space="preserve"> </w:t>
      </w:r>
      <w:r>
        <w:tab/>
      </w:r>
      <w:r>
        <w:rPr>
          <w:lang w:val="en-US"/>
        </w:rPr>
        <w:t xml:space="preserve">The tax exemption in relation to Malaysian corporate income tax on the transfer of securities under SBL. Please note </w:t>
      </w:r>
      <w:r w:rsidRPr="00F71468">
        <w:rPr>
          <w:lang w:val="en-US"/>
        </w:rPr>
        <w:t>Income Tax (Exemption (No. 30) Order 1995 (</w:t>
      </w:r>
      <w:r w:rsidRPr="00E6747A">
        <w:rPr>
          <w:b/>
          <w:lang w:val="en-US"/>
        </w:rPr>
        <w:t>Tax Exemption Order</w:t>
      </w:r>
      <w:r w:rsidRPr="00F71468">
        <w:rPr>
          <w:lang w:val="en-US"/>
        </w:rPr>
        <w:t xml:space="preserve">) exempts any income (other than dividend, manufactured payments, lending fees and interest earned on collateral) arising from </w:t>
      </w:r>
      <w:r>
        <w:rPr>
          <w:lang w:val="en-US"/>
        </w:rPr>
        <w:t xml:space="preserve">any </w:t>
      </w:r>
      <w:r w:rsidRPr="00F71468">
        <w:rPr>
          <w:lang w:val="en-US"/>
        </w:rPr>
        <w:t xml:space="preserve">loan of securities listed under Bursa Malaysia Securities Berhad and the return of the same or equivalent securities and the corresponding exchange of collateral </w:t>
      </w:r>
      <w:r>
        <w:rPr>
          <w:lang w:val="en-US"/>
        </w:rPr>
        <w:t>pursuant to</w:t>
      </w:r>
      <w:r w:rsidRPr="00F71468">
        <w:rPr>
          <w:lang w:val="en-US"/>
        </w:rPr>
        <w:t xml:space="preserve"> a</w:t>
      </w:r>
      <w:r>
        <w:rPr>
          <w:lang w:val="en-US"/>
        </w:rPr>
        <w:t>n</w:t>
      </w:r>
      <w:r w:rsidRPr="00F71468">
        <w:rPr>
          <w:lang w:val="en-US"/>
        </w:rPr>
        <w:t xml:space="preserve"> SBLNT under a</w:t>
      </w:r>
      <w:r>
        <w:rPr>
          <w:lang w:val="en-US"/>
        </w:rPr>
        <w:t>n</w:t>
      </w:r>
      <w:r w:rsidRPr="00F71468">
        <w:rPr>
          <w:lang w:val="en-US"/>
        </w:rPr>
        <w:t xml:space="preserve"> SBL Agreement.</w:t>
      </w:r>
    </w:p>
    <w:p w14:paraId="5BA41A38" w14:textId="77777777" w:rsidR="00E6747A" w:rsidRPr="00E6747A" w:rsidRDefault="00C8140D" w:rsidP="00E6747A">
      <w:pPr>
        <w:pStyle w:val="FootnoteText"/>
        <w:ind w:left="180"/>
        <w:jc w:val="both"/>
        <w:rPr>
          <w:szCs w:val="18"/>
          <w:lang w:val="en-US"/>
        </w:rPr>
      </w:pPr>
      <w:r w:rsidRPr="00E6747A">
        <w:rPr>
          <w:szCs w:val="18"/>
          <w:lang w:val="en-US"/>
        </w:rPr>
        <w:t>In order for parties to the SBL transaction to avail themsel</w:t>
      </w:r>
      <w:r>
        <w:rPr>
          <w:szCs w:val="18"/>
          <w:lang w:val="en-US"/>
        </w:rPr>
        <w:t xml:space="preserve">ves of the Tax Exemption Order, </w:t>
      </w:r>
      <w:r w:rsidRPr="00E6747A">
        <w:rPr>
          <w:szCs w:val="18"/>
          <w:lang w:val="en-US"/>
        </w:rPr>
        <w:t>the Tax Exemption Order</w:t>
      </w:r>
      <w:r>
        <w:rPr>
          <w:szCs w:val="18"/>
          <w:lang w:val="en-US"/>
        </w:rPr>
        <w:t xml:space="preserve"> provides that</w:t>
      </w:r>
      <w:r w:rsidRPr="00E6747A">
        <w:rPr>
          <w:szCs w:val="18"/>
          <w:lang w:val="en-US"/>
        </w:rPr>
        <w:t xml:space="preserve"> “borrower” and “lender” participating in the SBL transaction are persons authorised by the Securities Commission </w:t>
      </w:r>
      <w:r>
        <w:rPr>
          <w:szCs w:val="18"/>
          <w:lang w:val="en-US"/>
        </w:rPr>
        <w:t xml:space="preserve">Malaysia </w:t>
      </w:r>
      <w:r w:rsidRPr="00E6747A">
        <w:rPr>
          <w:szCs w:val="18"/>
          <w:lang w:val="en-US"/>
        </w:rPr>
        <w:t>(</w:t>
      </w:r>
      <w:r>
        <w:rPr>
          <w:b/>
          <w:szCs w:val="18"/>
          <w:lang w:val="en-US"/>
        </w:rPr>
        <w:t>SCM</w:t>
      </w:r>
      <w:r w:rsidRPr="00E6747A">
        <w:rPr>
          <w:szCs w:val="18"/>
          <w:lang w:val="en-US"/>
        </w:rPr>
        <w:t>) to engage as a borrower or lender, as the case may be</w:t>
      </w:r>
      <w:r>
        <w:rPr>
          <w:szCs w:val="18"/>
          <w:lang w:val="en-US"/>
        </w:rPr>
        <w:t>,</w:t>
      </w:r>
      <w:r w:rsidRPr="00E6747A">
        <w:rPr>
          <w:szCs w:val="18"/>
          <w:lang w:val="en-US"/>
        </w:rPr>
        <w:t xml:space="preserve"> in SBL transactions under </w:t>
      </w:r>
      <w:r>
        <w:rPr>
          <w:szCs w:val="18"/>
          <w:lang w:val="en-US"/>
        </w:rPr>
        <w:t>an SBL</w:t>
      </w:r>
      <w:r w:rsidRPr="00E6747A">
        <w:rPr>
          <w:szCs w:val="18"/>
          <w:lang w:val="en-US"/>
        </w:rPr>
        <w:t xml:space="preserve"> Agreement that has been approved by the SC</w:t>
      </w:r>
      <w:r>
        <w:rPr>
          <w:szCs w:val="18"/>
          <w:lang w:val="en-US"/>
        </w:rPr>
        <w:t>M</w:t>
      </w:r>
      <w:r w:rsidRPr="00E6747A">
        <w:rPr>
          <w:szCs w:val="18"/>
          <w:lang w:val="en-US"/>
        </w:rPr>
        <w:t>. Further, as mentioned above, the Tax Exemption Order only exempts certain types of income arising from SBL transactions in regard to Malaysian Securities only.</w:t>
      </w:r>
      <w:r w:rsidRPr="00E6747A">
        <w:rPr>
          <w:b/>
          <w:i/>
          <w:szCs w:val="22"/>
          <w:lang w:val="en-US"/>
        </w:rPr>
        <w:t xml:space="preserve"> </w:t>
      </w:r>
      <w:r w:rsidRPr="00E6747A">
        <w:rPr>
          <w:szCs w:val="18"/>
          <w:lang w:val="en-US"/>
        </w:rPr>
        <w:t>In addition, Rule 8.10 of</w:t>
      </w:r>
      <w:r>
        <w:rPr>
          <w:szCs w:val="18"/>
          <w:lang w:val="en-US"/>
        </w:rPr>
        <w:t xml:space="preserve"> the Clearing House Rules</w:t>
      </w:r>
      <w:r w:rsidRPr="00E6747A">
        <w:rPr>
          <w:szCs w:val="18"/>
          <w:lang w:val="en-US"/>
        </w:rPr>
        <w:t xml:space="preserve"> provides that </w:t>
      </w:r>
      <w:r>
        <w:rPr>
          <w:szCs w:val="18"/>
          <w:lang w:val="en-US"/>
        </w:rPr>
        <w:t xml:space="preserve">where </w:t>
      </w:r>
      <w:r w:rsidRPr="00E6747A">
        <w:rPr>
          <w:szCs w:val="18"/>
          <w:lang w:val="en-US"/>
        </w:rPr>
        <w:t xml:space="preserve">matters set out in Appendix 5 </w:t>
      </w:r>
      <w:r>
        <w:rPr>
          <w:szCs w:val="18"/>
          <w:lang w:val="en-US"/>
        </w:rPr>
        <w:t>to the Clearing House Rules are included into the SBL a</w:t>
      </w:r>
      <w:r w:rsidRPr="00E6747A">
        <w:rPr>
          <w:szCs w:val="18"/>
          <w:lang w:val="en-US"/>
        </w:rPr>
        <w:t>greement</w:t>
      </w:r>
      <w:r>
        <w:rPr>
          <w:szCs w:val="18"/>
          <w:lang w:val="en-US"/>
        </w:rPr>
        <w:t xml:space="preserve">, such agreement </w:t>
      </w:r>
      <w:r w:rsidRPr="00E6747A">
        <w:rPr>
          <w:szCs w:val="18"/>
          <w:lang w:val="en-US"/>
        </w:rPr>
        <w:t>will be deemed a</w:t>
      </w:r>
      <w:r>
        <w:rPr>
          <w:szCs w:val="18"/>
          <w:lang w:val="en-US"/>
        </w:rPr>
        <w:t>n SBL</w:t>
      </w:r>
      <w:r w:rsidRPr="00E6747A">
        <w:rPr>
          <w:szCs w:val="18"/>
          <w:lang w:val="en-US"/>
        </w:rPr>
        <w:t xml:space="preserve"> Agreement that has been approved by the SC</w:t>
      </w:r>
      <w:r>
        <w:rPr>
          <w:szCs w:val="18"/>
          <w:lang w:val="en-US"/>
        </w:rPr>
        <w:t>M</w:t>
      </w:r>
      <w:r w:rsidRPr="00E6747A">
        <w:rPr>
          <w:szCs w:val="18"/>
          <w:lang w:val="en-US"/>
        </w:rPr>
        <w:t xml:space="preserve"> as referred to in the </w:t>
      </w:r>
      <w:r>
        <w:rPr>
          <w:szCs w:val="18"/>
          <w:lang w:val="en-US"/>
        </w:rPr>
        <w:t>SBL</w:t>
      </w:r>
      <w:r w:rsidRPr="00E6747A">
        <w:rPr>
          <w:szCs w:val="18"/>
          <w:lang w:val="en-US"/>
        </w:rPr>
        <w:t xml:space="preserve"> Guidelines issued by the SC</w:t>
      </w:r>
      <w:r>
        <w:rPr>
          <w:szCs w:val="18"/>
          <w:lang w:val="en-US"/>
        </w:rPr>
        <w:t>M</w:t>
      </w:r>
      <w:r w:rsidRPr="00E6747A">
        <w:rPr>
          <w:szCs w:val="18"/>
          <w:lang w:val="en-US"/>
        </w:rPr>
        <w:t>.</w:t>
      </w:r>
    </w:p>
  </w:footnote>
  <w:footnote w:id="10">
    <w:p w14:paraId="418EBABF" w14:textId="77777777" w:rsidR="00297B27" w:rsidRPr="00297B27" w:rsidRDefault="00C8140D" w:rsidP="00297B27">
      <w:pPr>
        <w:pStyle w:val="FootnoteText"/>
        <w:ind w:left="180" w:hanging="180"/>
        <w:rPr>
          <w:lang w:val="en-US"/>
        </w:rPr>
      </w:pPr>
      <w:r>
        <w:rPr>
          <w:rStyle w:val="FootnoteReference"/>
        </w:rPr>
        <w:footnoteRef/>
      </w:r>
      <w:r>
        <w:t xml:space="preserve"> </w:t>
      </w:r>
      <w:r w:rsidRPr="0030379A">
        <w:rPr>
          <w:rFonts w:eastAsia="PMingLiU"/>
          <w:szCs w:val="18"/>
          <w:lang w:eastAsia="zh-TW"/>
        </w:rPr>
        <w:t>This is a require</w:t>
      </w:r>
      <w:r>
        <w:rPr>
          <w:rFonts w:eastAsia="PMingLiU"/>
          <w:szCs w:val="18"/>
          <w:lang w:eastAsia="zh-TW"/>
        </w:rPr>
        <w:t>ment under rule 8.1</w:t>
      </w:r>
      <w:r w:rsidRPr="0030379A">
        <w:rPr>
          <w:rFonts w:eastAsia="PMingLiU"/>
          <w:szCs w:val="18"/>
          <w:lang w:eastAsia="zh-TW"/>
        </w:rPr>
        <w:t xml:space="preserve"> of the Clearing House </w:t>
      </w:r>
      <w:r>
        <w:rPr>
          <w:rFonts w:eastAsia="PMingLiU"/>
          <w:szCs w:val="18"/>
          <w:lang w:eastAsia="zh-TW"/>
        </w:rPr>
        <w:t>Rules</w:t>
      </w:r>
      <w:r w:rsidRPr="0030379A">
        <w:rPr>
          <w:rFonts w:eastAsia="PMingLiU"/>
          <w:szCs w:val="18"/>
          <w:lang w:eastAsia="zh-TW"/>
        </w:rPr>
        <w:t>.</w:t>
      </w:r>
    </w:p>
  </w:footnote>
  <w:footnote w:id="11">
    <w:p w14:paraId="1B9F1A83" w14:textId="77777777" w:rsidR="00AF79C9" w:rsidRPr="0014366C" w:rsidRDefault="00C8140D" w:rsidP="00076B2B">
      <w:pPr>
        <w:pStyle w:val="FootnoteText"/>
        <w:jc w:val="both"/>
        <w:rPr>
          <w:rFonts w:eastAsia="PMingLiU"/>
          <w:szCs w:val="18"/>
          <w:lang w:val="en-US" w:eastAsia="zh-TW"/>
        </w:rPr>
      </w:pPr>
      <w:r w:rsidRPr="0030379A">
        <w:rPr>
          <w:rStyle w:val="FootnoteReference"/>
          <w:szCs w:val="18"/>
        </w:rPr>
        <w:footnoteRef/>
      </w:r>
      <w:r w:rsidRPr="0030379A">
        <w:rPr>
          <w:szCs w:val="18"/>
        </w:rPr>
        <w:t xml:space="preserve"> </w:t>
      </w:r>
      <w:r w:rsidRPr="0030379A">
        <w:rPr>
          <w:rFonts w:eastAsia="PMingLiU"/>
          <w:i/>
          <w:szCs w:val="18"/>
          <w:lang w:val="en-US" w:eastAsia="zh-TW"/>
        </w:rPr>
        <w:t>Ibid</w:t>
      </w:r>
      <w:r w:rsidRPr="0030379A">
        <w:rPr>
          <w:rFonts w:eastAsia="PMingLiU"/>
          <w:szCs w:val="18"/>
          <w:lang w:val="en-US" w:eastAsia="zh-TW"/>
        </w:rPr>
        <w:t>.</w:t>
      </w:r>
    </w:p>
  </w:footnote>
  <w:footnote w:id="12">
    <w:p w14:paraId="41C8E75C" w14:textId="77777777" w:rsidR="00CB77BF" w:rsidRPr="00CB77BF" w:rsidRDefault="00C8140D" w:rsidP="00CB77BF">
      <w:pPr>
        <w:pStyle w:val="FootnoteText"/>
      </w:pPr>
      <w:r>
        <w:rPr>
          <w:rStyle w:val="FootnoteReference"/>
        </w:rPr>
        <w:footnoteRef/>
      </w:r>
      <w:r>
        <w:t xml:space="preserve"> </w:t>
      </w:r>
      <w:r>
        <w:rPr>
          <w:lang w:val="en-MY"/>
        </w:rPr>
        <w:t xml:space="preserve">In the event the </w:t>
      </w:r>
      <w:r w:rsidRPr="00CB77BF">
        <w:rPr>
          <w:lang w:val="en-US"/>
        </w:rPr>
        <w:t>Addendum is signed after the GMSLA</w:t>
      </w:r>
    </w:p>
  </w:footnote>
  <w:footnote w:id="13">
    <w:p w14:paraId="17C97A8E" w14:textId="59D8B722" w:rsidR="00245CA9" w:rsidRPr="00245CA9" w:rsidRDefault="00245CA9">
      <w:pPr>
        <w:pStyle w:val="FootnoteText"/>
        <w:rPr>
          <w:lang w:val="en-US"/>
        </w:rPr>
      </w:pPr>
      <w:r>
        <w:rPr>
          <w:rStyle w:val="FootnoteReference"/>
        </w:rPr>
        <w:footnoteRef/>
      </w:r>
      <w:r>
        <w:t xml:space="preserve"> </w:t>
      </w:r>
      <w:bookmarkStart w:id="0" w:name="_Hlk55377092"/>
      <w:r w:rsidR="0016238B">
        <w:t xml:space="preserve">The </w:t>
      </w:r>
      <w:r w:rsidRPr="00245CA9">
        <w:t>governing law clause should be aligned with the governing law of the GMSLA</w:t>
      </w:r>
      <w:bookmarkEnd w:id="0"/>
      <w:r>
        <w:t>.</w:t>
      </w:r>
    </w:p>
  </w:footnote>
  <w:footnote w:id="14">
    <w:p w14:paraId="5360911B" w14:textId="77777777" w:rsidR="00A20525" w:rsidRPr="00A20525" w:rsidRDefault="00C8140D">
      <w:pPr>
        <w:pStyle w:val="FootnoteText"/>
        <w:rPr>
          <w:lang w:val="en-MY"/>
        </w:rPr>
      </w:pPr>
      <w:r>
        <w:rPr>
          <w:rStyle w:val="FootnoteReference"/>
        </w:rPr>
        <w:footnoteRef/>
      </w:r>
      <w:r>
        <w:t xml:space="preserve"> </w:t>
      </w:r>
      <w:r>
        <w:rPr>
          <w:lang w:val="en-MY"/>
        </w:rPr>
        <w:t xml:space="preserve">In the event the </w:t>
      </w:r>
      <w:r w:rsidRPr="00CB77BF">
        <w:rPr>
          <w:lang w:val="en-US"/>
        </w:rPr>
        <w:t>Addendum is signed after the GMSLA</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65A14A" w14:textId="77777777" w:rsidR="00655860" w:rsidRDefault="00655860" w:rsidP="00655860">
    <w:pPr>
      <w:pStyle w:val="Header"/>
      <w:tabs>
        <w:tab w:val="left" w:pos="5954"/>
      </w:tabs>
    </w:pPr>
    <w:r>
      <w:rPr>
        <w:noProof/>
      </w:rPr>
      <w:drawing>
        <wp:anchor distT="0" distB="0" distL="114300" distR="114300" simplePos="0" relativeHeight="251659264" behindDoc="0" locked="0" layoutInCell="1" allowOverlap="1" wp14:anchorId="10D9B6CC" wp14:editId="0B466E27">
          <wp:simplePos x="0" y="0"/>
          <wp:positionH relativeFrom="column">
            <wp:posOffset>1299845</wp:posOffset>
          </wp:positionH>
          <wp:positionV relativeFrom="paragraph">
            <wp:posOffset>12065</wp:posOffset>
          </wp:positionV>
          <wp:extent cx="1647825" cy="419100"/>
          <wp:effectExtent l="0" t="0" r="9525" b="0"/>
          <wp:wrapThrough wrapText="bothSides">
            <wp:wrapPolygon edited="0">
              <wp:start x="0" y="0"/>
              <wp:lineTo x="0" y="20618"/>
              <wp:lineTo x="21475" y="20618"/>
              <wp:lineTo x="21475" y="15709"/>
              <wp:lineTo x="19727" y="0"/>
              <wp:lineTo x="0" y="0"/>
            </wp:wrapPolygon>
          </wp:wrapThrough>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47825" cy="419100"/>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0288" behindDoc="1" locked="0" layoutInCell="1" allowOverlap="1" wp14:anchorId="27FC90EE" wp14:editId="1F50CE3C">
          <wp:simplePos x="0" y="0"/>
          <wp:positionH relativeFrom="column">
            <wp:posOffset>-281305</wp:posOffset>
          </wp:positionH>
          <wp:positionV relativeFrom="paragraph">
            <wp:posOffset>12065</wp:posOffset>
          </wp:positionV>
          <wp:extent cx="1285875" cy="434340"/>
          <wp:effectExtent l="0" t="0" r="9525" b="3810"/>
          <wp:wrapTight wrapText="bothSides">
            <wp:wrapPolygon edited="0">
              <wp:start x="0" y="0"/>
              <wp:lineTo x="0" y="20842"/>
              <wp:lineTo x="21440" y="20842"/>
              <wp:lineTo x="21440" y="0"/>
              <wp:lineTo x="0" y="0"/>
            </wp:wrapPolygon>
          </wp:wrapTight>
          <wp:docPr id="1" name="Picture 1"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clipart&#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1285875" cy="434340"/>
                  </a:xfrm>
                  <a:prstGeom prst="rect">
                    <a:avLst/>
                  </a:prstGeom>
                </pic:spPr>
              </pic:pic>
            </a:graphicData>
          </a:graphic>
          <wp14:sizeRelH relativeFrom="margin">
            <wp14:pctWidth>0</wp14:pctWidth>
          </wp14:sizeRelH>
          <wp14:sizeRelV relativeFrom="margin">
            <wp14:pctHeight>0</wp14:pctHeight>
          </wp14:sizeRelV>
        </wp:anchor>
      </w:drawing>
    </w:r>
  </w:p>
  <w:p w14:paraId="44E96D33" w14:textId="77777777" w:rsidR="00655860" w:rsidRDefault="00655860" w:rsidP="00655860">
    <w:pPr>
      <w:pStyle w:val="Header"/>
      <w:tabs>
        <w:tab w:val="left" w:pos="5954"/>
      </w:tabs>
    </w:pPr>
  </w:p>
  <w:p w14:paraId="656F638E" w14:textId="77777777" w:rsidR="00554E72" w:rsidRPr="006E125C" w:rsidRDefault="0045720C" w:rsidP="00B90EC5">
    <w:pPr>
      <w:pStyle w:val="Header"/>
      <w:jc w:val="right"/>
      <w:rPr>
        <w:b/>
        <w:lang w:val="en-MY"/>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39649E"/>
    <w:multiLevelType w:val="hybridMultilevel"/>
    <w:tmpl w:val="AE6CED8A"/>
    <w:lvl w:ilvl="0" w:tplc="52F6204E">
      <w:start w:val="1"/>
      <w:numFmt w:val="lowerLetter"/>
      <w:lvlText w:val="(%1)"/>
      <w:lvlJc w:val="left"/>
      <w:pPr>
        <w:tabs>
          <w:tab w:val="num" w:pos="1440"/>
        </w:tabs>
        <w:ind w:left="1440" w:hanging="720"/>
      </w:pPr>
      <w:rPr>
        <w:rFonts w:hint="default"/>
        <w:b w:val="0"/>
        <w:i w:val="0"/>
      </w:rPr>
    </w:lvl>
    <w:lvl w:ilvl="1" w:tplc="917E22CA">
      <w:start w:val="1"/>
      <w:numFmt w:val="lowerLetter"/>
      <w:lvlText w:val="(%2)"/>
      <w:lvlJc w:val="left"/>
      <w:pPr>
        <w:tabs>
          <w:tab w:val="num" w:pos="1440"/>
        </w:tabs>
        <w:ind w:left="1440" w:hanging="720"/>
      </w:pPr>
      <w:rPr>
        <w:rFonts w:ascii="Arial" w:hAnsi="Arial" w:cs="Arial" w:hint="default"/>
        <w:b w:val="0"/>
        <w:i w:val="0"/>
        <w:sz w:val="20"/>
      </w:rPr>
    </w:lvl>
    <w:lvl w:ilvl="2" w:tplc="02E21364">
      <w:start w:val="1"/>
      <w:numFmt w:val="lowerRoman"/>
      <w:lvlText w:val="%3."/>
      <w:lvlJc w:val="right"/>
      <w:pPr>
        <w:tabs>
          <w:tab w:val="num" w:pos="2160"/>
        </w:tabs>
        <w:ind w:left="2160" w:hanging="180"/>
      </w:pPr>
    </w:lvl>
    <w:lvl w:ilvl="3" w:tplc="39DACD72" w:tentative="1">
      <w:start w:val="1"/>
      <w:numFmt w:val="decimal"/>
      <w:lvlText w:val="%4."/>
      <w:lvlJc w:val="left"/>
      <w:pPr>
        <w:tabs>
          <w:tab w:val="num" w:pos="2880"/>
        </w:tabs>
        <w:ind w:left="2880" w:hanging="360"/>
      </w:pPr>
    </w:lvl>
    <w:lvl w:ilvl="4" w:tplc="30CEB9BE" w:tentative="1">
      <w:start w:val="1"/>
      <w:numFmt w:val="lowerLetter"/>
      <w:lvlText w:val="%5."/>
      <w:lvlJc w:val="left"/>
      <w:pPr>
        <w:tabs>
          <w:tab w:val="num" w:pos="3600"/>
        </w:tabs>
        <w:ind w:left="3600" w:hanging="360"/>
      </w:pPr>
    </w:lvl>
    <w:lvl w:ilvl="5" w:tplc="37D6843A" w:tentative="1">
      <w:start w:val="1"/>
      <w:numFmt w:val="lowerRoman"/>
      <w:lvlText w:val="%6."/>
      <w:lvlJc w:val="right"/>
      <w:pPr>
        <w:tabs>
          <w:tab w:val="num" w:pos="4320"/>
        </w:tabs>
        <w:ind w:left="4320" w:hanging="180"/>
      </w:pPr>
    </w:lvl>
    <w:lvl w:ilvl="6" w:tplc="42E80B5C" w:tentative="1">
      <w:start w:val="1"/>
      <w:numFmt w:val="decimal"/>
      <w:lvlText w:val="%7."/>
      <w:lvlJc w:val="left"/>
      <w:pPr>
        <w:tabs>
          <w:tab w:val="num" w:pos="5040"/>
        </w:tabs>
        <w:ind w:left="5040" w:hanging="360"/>
      </w:pPr>
    </w:lvl>
    <w:lvl w:ilvl="7" w:tplc="17DA63DE" w:tentative="1">
      <w:start w:val="1"/>
      <w:numFmt w:val="lowerLetter"/>
      <w:lvlText w:val="%8."/>
      <w:lvlJc w:val="left"/>
      <w:pPr>
        <w:tabs>
          <w:tab w:val="num" w:pos="5760"/>
        </w:tabs>
        <w:ind w:left="5760" w:hanging="360"/>
      </w:pPr>
    </w:lvl>
    <w:lvl w:ilvl="8" w:tplc="AECC6D50" w:tentative="1">
      <w:start w:val="1"/>
      <w:numFmt w:val="lowerRoman"/>
      <w:lvlText w:val="%9."/>
      <w:lvlJc w:val="right"/>
      <w:pPr>
        <w:tabs>
          <w:tab w:val="num" w:pos="6480"/>
        </w:tabs>
        <w:ind w:left="6480" w:hanging="180"/>
      </w:pPr>
    </w:lvl>
  </w:abstractNum>
  <w:abstractNum w:abstractNumId="1" w15:restartNumberingAfterBreak="0">
    <w:nsid w:val="09523A59"/>
    <w:multiLevelType w:val="hybridMultilevel"/>
    <w:tmpl w:val="2FA060F2"/>
    <w:lvl w:ilvl="0" w:tplc="7E3E8D2A">
      <w:start w:val="1"/>
      <w:numFmt w:val="lowerRoman"/>
      <w:lvlText w:val="(%1)"/>
      <w:lvlJc w:val="right"/>
      <w:pPr>
        <w:tabs>
          <w:tab w:val="num" w:pos="2160"/>
        </w:tabs>
        <w:ind w:left="2160" w:hanging="648"/>
      </w:pPr>
      <w:rPr>
        <w:rFonts w:hint="default"/>
      </w:rPr>
    </w:lvl>
    <w:lvl w:ilvl="1" w:tplc="F29A9358" w:tentative="1">
      <w:start w:val="1"/>
      <w:numFmt w:val="lowerLetter"/>
      <w:lvlText w:val="%2."/>
      <w:lvlJc w:val="left"/>
      <w:pPr>
        <w:tabs>
          <w:tab w:val="num" w:pos="1440"/>
        </w:tabs>
        <w:ind w:left="1440" w:hanging="360"/>
      </w:pPr>
    </w:lvl>
    <w:lvl w:ilvl="2" w:tplc="FF38B3E6">
      <w:start w:val="1"/>
      <w:numFmt w:val="lowerRoman"/>
      <w:lvlText w:val="(%3)"/>
      <w:lvlJc w:val="left"/>
      <w:pPr>
        <w:tabs>
          <w:tab w:val="num" w:pos="2160"/>
        </w:tabs>
        <w:ind w:left="2160" w:hanging="648"/>
      </w:pPr>
      <w:rPr>
        <w:rFonts w:hint="default"/>
        <w:b w:val="0"/>
        <w:i w:val="0"/>
      </w:rPr>
    </w:lvl>
    <w:lvl w:ilvl="3" w:tplc="0400B686" w:tentative="1">
      <w:start w:val="1"/>
      <w:numFmt w:val="decimal"/>
      <w:lvlText w:val="%4."/>
      <w:lvlJc w:val="left"/>
      <w:pPr>
        <w:tabs>
          <w:tab w:val="num" w:pos="2880"/>
        </w:tabs>
        <w:ind w:left="2880" w:hanging="360"/>
      </w:pPr>
    </w:lvl>
    <w:lvl w:ilvl="4" w:tplc="BF14E250" w:tentative="1">
      <w:start w:val="1"/>
      <w:numFmt w:val="lowerLetter"/>
      <w:lvlText w:val="%5."/>
      <w:lvlJc w:val="left"/>
      <w:pPr>
        <w:tabs>
          <w:tab w:val="num" w:pos="3600"/>
        </w:tabs>
        <w:ind w:left="3600" w:hanging="360"/>
      </w:pPr>
    </w:lvl>
    <w:lvl w:ilvl="5" w:tplc="BC02478C" w:tentative="1">
      <w:start w:val="1"/>
      <w:numFmt w:val="lowerRoman"/>
      <w:lvlText w:val="%6."/>
      <w:lvlJc w:val="right"/>
      <w:pPr>
        <w:tabs>
          <w:tab w:val="num" w:pos="4320"/>
        </w:tabs>
        <w:ind w:left="4320" w:hanging="180"/>
      </w:pPr>
    </w:lvl>
    <w:lvl w:ilvl="6" w:tplc="507065B2" w:tentative="1">
      <w:start w:val="1"/>
      <w:numFmt w:val="decimal"/>
      <w:lvlText w:val="%7."/>
      <w:lvlJc w:val="left"/>
      <w:pPr>
        <w:tabs>
          <w:tab w:val="num" w:pos="5040"/>
        </w:tabs>
        <w:ind w:left="5040" w:hanging="360"/>
      </w:pPr>
    </w:lvl>
    <w:lvl w:ilvl="7" w:tplc="C172AABE" w:tentative="1">
      <w:start w:val="1"/>
      <w:numFmt w:val="lowerLetter"/>
      <w:lvlText w:val="%8."/>
      <w:lvlJc w:val="left"/>
      <w:pPr>
        <w:tabs>
          <w:tab w:val="num" w:pos="5760"/>
        </w:tabs>
        <w:ind w:left="5760" w:hanging="360"/>
      </w:pPr>
    </w:lvl>
    <w:lvl w:ilvl="8" w:tplc="C5C49544" w:tentative="1">
      <w:start w:val="1"/>
      <w:numFmt w:val="lowerRoman"/>
      <w:lvlText w:val="%9."/>
      <w:lvlJc w:val="right"/>
      <w:pPr>
        <w:tabs>
          <w:tab w:val="num" w:pos="6480"/>
        </w:tabs>
        <w:ind w:left="6480" w:hanging="180"/>
      </w:pPr>
    </w:lvl>
  </w:abstractNum>
  <w:abstractNum w:abstractNumId="2" w15:restartNumberingAfterBreak="0">
    <w:nsid w:val="162F3CCB"/>
    <w:multiLevelType w:val="hybridMultilevel"/>
    <w:tmpl w:val="2A06B31E"/>
    <w:lvl w:ilvl="0" w:tplc="32AC664C">
      <w:start w:val="1"/>
      <w:numFmt w:val="lowerRoman"/>
      <w:lvlText w:val="(%1)"/>
      <w:lvlJc w:val="left"/>
      <w:pPr>
        <w:ind w:left="2160" w:hanging="720"/>
      </w:pPr>
      <w:rPr>
        <w:rFonts w:hint="default"/>
      </w:rPr>
    </w:lvl>
    <w:lvl w:ilvl="1" w:tplc="EEFA7A98" w:tentative="1">
      <w:start w:val="1"/>
      <w:numFmt w:val="lowerLetter"/>
      <w:lvlText w:val="%2."/>
      <w:lvlJc w:val="left"/>
      <w:pPr>
        <w:ind w:left="2520" w:hanging="360"/>
      </w:pPr>
    </w:lvl>
    <w:lvl w:ilvl="2" w:tplc="91644974" w:tentative="1">
      <w:start w:val="1"/>
      <w:numFmt w:val="lowerRoman"/>
      <w:lvlText w:val="%3."/>
      <w:lvlJc w:val="right"/>
      <w:pPr>
        <w:ind w:left="3240" w:hanging="180"/>
      </w:pPr>
    </w:lvl>
    <w:lvl w:ilvl="3" w:tplc="68D63A68" w:tentative="1">
      <w:start w:val="1"/>
      <w:numFmt w:val="decimal"/>
      <w:lvlText w:val="%4."/>
      <w:lvlJc w:val="left"/>
      <w:pPr>
        <w:ind w:left="3960" w:hanging="360"/>
      </w:pPr>
    </w:lvl>
    <w:lvl w:ilvl="4" w:tplc="3800A05E" w:tentative="1">
      <w:start w:val="1"/>
      <w:numFmt w:val="lowerLetter"/>
      <w:lvlText w:val="%5."/>
      <w:lvlJc w:val="left"/>
      <w:pPr>
        <w:ind w:left="4680" w:hanging="360"/>
      </w:pPr>
    </w:lvl>
    <w:lvl w:ilvl="5" w:tplc="AD24DFA6" w:tentative="1">
      <w:start w:val="1"/>
      <w:numFmt w:val="lowerRoman"/>
      <w:lvlText w:val="%6."/>
      <w:lvlJc w:val="right"/>
      <w:pPr>
        <w:ind w:left="5400" w:hanging="180"/>
      </w:pPr>
    </w:lvl>
    <w:lvl w:ilvl="6" w:tplc="A5A6574C" w:tentative="1">
      <w:start w:val="1"/>
      <w:numFmt w:val="decimal"/>
      <w:lvlText w:val="%7."/>
      <w:lvlJc w:val="left"/>
      <w:pPr>
        <w:ind w:left="6120" w:hanging="360"/>
      </w:pPr>
    </w:lvl>
    <w:lvl w:ilvl="7" w:tplc="7F6E1A68" w:tentative="1">
      <w:start w:val="1"/>
      <w:numFmt w:val="lowerLetter"/>
      <w:lvlText w:val="%8."/>
      <w:lvlJc w:val="left"/>
      <w:pPr>
        <w:ind w:left="6840" w:hanging="360"/>
      </w:pPr>
    </w:lvl>
    <w:lvl w:ilvl="8" w:tplc="51BACE00" w:tentative="1">
      <w:start w:val="1"/>
      <w:numFmt w:val="lowerRoman"/>
      <w:lvlText w:val="%9."/>
      <w:lvlJc w:val="right"/>
      <w:pPr>
        <w:ind w:left="7560" w:hanging="180"/>
      </w:pPr>
    </w:lvl>
  </w:abstractNum>
  <w:abstractNum w:abstractNumId="3" w15:restartNumberingAfterBreak="0">
    <w:nsid w:val="1D5F0928"/>
    <w:multiLevelType w:val="hybridMultilevel"/>
    <w:tmpl w:val="4E8A7AA8"/>
    <w:lvl w:ilvl="0" w:tplc="ED30FDE6">
      <w:start w:val="1"/>
      <w:numFmt w:val="lowerLetter"/>
      <w:lvlText w:val="(%1)"/>
      <w:lvlJc w:val="left"/>
      <w:pPr>
        <w:tabs>
          <w:tab w:val="num" w:pos="1080"/>
        </w:tabs>
        <w:ind w:left="1080" w:hanging="360"/>
      </w:pPr>
      <w:rPr>
        <w:rFonts w:hint="default"/>
      </w:rPr>
    </w:lvl>
    <w:lvl w:ilvl="1" w:tplc="FB4ACAE2">
      <w:start w:val="6"/>
      <w:numFmt w:val="lowerRoman"/>
      <w:lvlText w:val="(%2)"/>
      <w:lvlJc w:val="left"/>
      <w:pPr>
        <w:tabs>
          <w:tab w:val="num" w:pos="2160"/>
        </w:tabs>
        <w:ind w:left="2160" w:hanging="720"/>
      </w:pPr>
      <w:rPr>
        <w:rFonts w:hint="default"/>
      </w:rPr>
    </w:lvl>
    <w:lvl w:ilvl="2" w:tplc="B300A9F0" w:tentative="1">
      <w:start w:val="1"/>
      <w:numFmt w:val="lowerRoman"/>
      <w:lvlText w:val="%3."/>
      <w:lvlJc w:val="right"/>
      <w:pPr>
        <w:tabs>
          <w:tab w:val="num" w:pos="2520"/>
        </w:tabs>
        <w:ind w:left="2520" w:hanging="180"/>
      </w:pPr>
    </w:lvl>
    <w:lvl w:ilvl="3" w:tplc="DC9E2D7A" w:tentative="1">
      <w:start w:val="1"/>
      <w:numFmt w:val="decimal"/>
      <w:lvlText w:val="%4."/>
      <w:lvlJc w:val="left"/>
      <w:pPr>
        <w:tabs>
          <w:tab w:val="num" w:pos="3240"/>
        </w:tabs>
        <w:ind w:left="3240" w:hanging="360"/>
      </w:pPr>
    </w:lvl>
    <w:lvl w:ilvl="4" w:tplc="07B4D97C" w:tentative="1">
      <w:start w:val="1"/>
      <w:numFmt w:val="lowerLetter"/>
      <w:lvlText w:val="%5."/>
      <w:lvlJc w:val="left"/>
      <w:pPr>
        <w:tabs>
          <w:tab w:val="num" w:pos="3960"/>
        </w:tabs>
        <w:ind w:left="3960" w:hanging="360"/>
      </w:pPr>
    </w:lvl>
    <w:lvl w:ilvl="5" w:tplc="012AE0D0" w:tentative="1">
      <w:start w:val="1"/>
      <w:numFmt w:val="lowerRoman"/>
      <w:lvlText w:val="%6."/>
      <w:lvlJc w:val="right"/>
      <w:pPr>
        <w:tabs>
          <w:tab w:val="num" w:pos="4680"/>
        </w:tabs>
        <w:ind w:left="4680" w:hanging="180"/>
      </w:pPr>
    </w:lvl>
    <w:lvl w:ilvl="6" w:tplc="0690134C" w:tentative="1">
      <w:start w:val="1"/>
      <w:numFmt w:val="decimal"/>
      <w:lvlText w:val="%7."/>
      <w:lvlJc w:val="left"/>
      <w:pPr>
        <w:tabs>
          <w:tab w:val="num" w:pos="5400"/>
        </w:tabs>
        <w:ind w:left="5400" w:hanging="360"/>
      </w:pPr>
    </w:lvl>
    <w:lvl w:ilvl="7" w:tplc="9D823266" w:tentative="1">
      <w:start w:val="1"/>
      <w:numFmt w:val="lowerLetter"/>
      <w:lvlText w:val="%8."/>
      <w:lvlJc w:val="left"/>
      <w:pPr>
        <w:tabs>
          <w:tab w:val="num" w:pos="6120"/>
        </w:tabs>
        <w:ind w:left="6120" w:hanging="360"/>
      </w:pPr>
    </w:lvl>
    <w:lvl w:ilvl="8" w:tplc="C49C12CA" w:tentative="1">
      <w:start w:val="1"/>
      <w:numFmt w:val="lowerRoman"/>
      <w:lvlText w:val="%9."/>
      <w:lvlJc w:val="right"/>
      <w:pPr>
        <w:tabs>
          <w:tab w:val="num" w:pos="6840"/>
        </w:tabs>
        <w:ind w:left="6840" w:hanging="180"/>
      </w:pPr>
    </w:lvl>
  </w:abstractNum>
  <w:abstractNum w:abstractNumId="4" w15:restartNumberingAfterBreak="0">
    <w:nsid w:val="1DF9218A"/>
    <w:multiLevelType w:val="hybridMultilevel"/>
    <w:tmpl w:val="4B36A686"/>
    <w:lvl w:ilvl="0" w:tplc="7C84421A">
      <w:start w:val="1"/>
      <w:numFmt w:val="lowerRoman"/>
      <w:lvlText w:val="(%1)"/>
      <w:lvlJc w:val="right"/>
      <w:pPr>
        <w:tabs>
          <w:tab w:val="num" w:pos="2160"/>
        </w:tabs>
        <w:ind w:left="2160" w:hanging="648"/>
      </w:pPr>
      <w:rPr>
        <w:rFonts w:hint="default"/>
      </w:rPr>
    </w:lvl>
    <w:lvl w:ilvl="1" w:tplc="6160FBB0" w:tentative="1">
      <w:start w:val="1"/>
      <w:numFmt w:val="lowerLetter"/>
      <w:lvlText w:val="%2."/>
      <w:lvlJc w:val="left"/>
      <w:pPr>
        <w:tabs>
          <w:tab w:val="num" w:pos="1440"/>
        </w:tabs>
        <w:ind w:left="1440" w:hanging="360"/>
      </w:pPr>
    </w:lvl>
    <w:lvl w:ilvl="2" w:tplc="253CDA2C">
      <w:start w:val="1"/>
      <w:numFmt w:val="lowerRoman"/>
      <w:lvlText w:val="(%3)"/>
      <w:lvlJc w:val="right"/>
      <w:pPr>
        <w:tabs>
          <w:tab w:val="num" w:pos="2160"/>
        </w:tabs>
        <w:ind w:left="2160" w:hanging="648"/>
      </w:pPr>
      <w:rPr>
        <w:rFonts w:hint="default"/>
      </w:rPr>
    </w:lvl>
    <w:lvl w:ilvl="3" w:tplc="4B9AB73A" w:tentative="1">
      <w:start w:val="1"/>
      <w:numFmt w:val="decimal"/>
      <w:lvlText w:val="%4."/>
      <w:lvlJc w:val="left"/>
      <w:pPr>
        <w:tabs>
          <w:tab w:val="num" w:pos="2880"/>
        </w:tabs>
        <w:ind w:left="2880" w:hanging="360"/>
      </w:pPr>
    </w:lvl>
    <w:lvl w:ilvl="4" w:tplc="AD369EE2" w:tentative="1">
      <w:start w:val="1"/>
      <w:numFmt w:val="lowerLetter"/>
      <w:lvlText w:val="%5."/>
      <w:lvlJc w:val="left"/>
      <w:pPr>
        <w:tabs>
          <w:tab w:val="num" w:pos="3600"/>
        </w:tabs>
        <w:ind w:left="3600" w:hanging="360"/>
      </w:pPr>
    </w:lvl>
    <w:lvl w:ilvl="5" w:tplc="E1BC9274" w:tentative="1">
      <w:start w:val="1"/>
      <w:numFmt w:val="lowerRoman"/>
      <w:lvlText w:val="%6."/>
      <w:lvlJc w:val="right"/>
      <w:pPr>
        <w:tabs>
          <w:tab w:val="num" w:pos="4320"/>
        </w:tabs>
        <w:ind w:left="4320" w:hanging="180"/>
      </w:pPr>
    </w:lvl>
    <w:lvl w:ilvl="6" w:tplc="160E88A0" w:tentative="1">
      <w:start w:val="1"/>
      <w:numFmt w:val="decimal"/>
      <w:lvlText w:val="%7."/>
      <w:lvlJc w:val="left"/>
      <w:pPr>
        <w:tabs>
          <w:tab w:val="num" w:pos="5040"/>
        </w:tabs>
        <w:ind w:left="5040" w:hanging="360"/>
      </w:pPr>
    </w:lvl>
    <w:lvl w:ilvl="7" w:tplc="EE3AF14A" w:tentative="1">
      <w:start w:val="1"/>
      <w:numFmt w:val="lowerLetter"/>
      <w:lvlText w:val="%8."/>
      <w:lvlJc w:val="left"/>
      <w:pPr>
        <w:tabs>
          <w:tab w:val="num" w:pos="5760"/>
        </w:tabs>
        <w:ind w:left="5760" w:hanging="360"/>
      </w:pPr>
    </w:lvl>
    <w:lvl w:ilvl="8" w:tplc="3BC09C34" w:tentative="1">
      <w:start w:val="1"/>
      <w:numFmt w:val="lowerRoman"/>
      <w:lvlText w:val="%9."/>
      <w:lvlJc w:val="right"/>
      <w:pPr>
        <w:tabs>
          <w:tab w:val="num" w:pos="6480"/>
        </w:tabs>
        <w:ind w:left="6480" w:hanging="180"/>
      </w:pPr>
    </w:lvl>
  </w:abstractNum>
  <w:abstractNum w:abstractNumId="5" w15:restartNumberingAfterBreak="0">
    <w:nsid w:val="1F7C0C08"/>
    <w:multiLevelType w:val="multilevel"/>
    <w:tmpl w:val="786417C0"/>
    <w:lvl w:ilvl="0">
      <w:start w:val="1"/>
      <w:numFmt w:val="decimal"/>
      <w:lvlText w:val="%1."/>
      <w:lvlJc w:val="left"/>
      <w:pPr>
        <w:ind w:left="720" w:hanging="360"/>
      </w:pPr>
      <w:rPr>
        <w:rFonts w:hint="default"/>
        <w:b/>
      </w:rPr>
    </w:lvl>
    <w:lvl w:ilvl="1">
      <w:start w:val="1"/>
      <w:numFmt w:val="decimal"/>
      <w:isLgl/>
      <w:lvlText w:val="%1.%2"/>
      <w:lvlJc w:val="left"/>
      <w:pPr>
        <w:ind w:left="720" w:hanging="360"/>
      </w:pPr>
      <w:rPr>
        <w:rFonts w:hint="default"/>
        <w:b w:val="0"/>
        <w:i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 w15:restartNumberingAfterBreak="0">
    <w:nsid w:val="2D067609"/>
    <w:multiLevelType w:val="multilevel"/>
    <w:tmpl w:val="248A1BCC"/>
    <w:lvl w:ilvl="0">
      <w:start w:val="1"/>
      <w:numFmt w:val="decimal"/>
      <w:pStyle w:val="Heading1"/>
      <w:lvlText w:val="%1."/>
      <w:lvlJc w:val="left"/>
      <w:pPr>
        <w:tabs>
          <w:tab w:val="num" w:pos="624"/>
        </w:tabs>
        <w:ind w:left="624" w:hanging="624"/>
      </w:pPr>
      <w:rPr>
        <w:rFonts w:ascii="CG Times" w:hAnsi="CG Times"/>
        <w:b w:val="0"/>
        <w:i w:val="0"/>
        <w:sz w:val="20"/>
      </w:rPr>
    </w:lvl>
    <w:lvl w:ilvl="1">
      <w:start w:val="1"/>
      <w:numFmt w:val="decimal"/>
      <w:pStyle w:val="Heading2"/>
      <w:lvlText w:val="%1.%2"/>
      <w:lvlJc w:val="left"/>
      <w:pPr>
        <w:tabs>
          <w:tab w:val="num" w:pos="624"/>
        </w:tabs>
        <w:ind w:left="624" w:hanging="624"/>
      </w:pPr>
      <w:rPr>
        <w:b w:val="0"/>
        <w:i w:val="0"/>
        <w:sz w:val="20"/>
      </w:rPr>
    </w:lvl>
    <w:lvl w:ilvl="2">
      <w:start w:val="1"/>
      <w:numFmt w:val="decimal"/>
      <w:pStyle w:val="Heading3"/>
      <w:lvlText w:val="%1.%2.%3"/>
      <w:lvlJc w:val="left"/>
      <w:pPr>
        <w:tabs>
          <w:tab w:val="num" w:pos="1417"/>
        </w:tabs>
        <w:ind w:left="1417" w:hanging="793"/>
      </w:pPr>
      <w:rPr>
        <w:b w:val="0"/>
        <w:i w:val="0"/>
        <w:sz w:val="18"/>
      </w:rPr>
    </w:lvl>
    <w:lvl w:ilvl="3">
      <w:start w:val="1"/>
      <w:numFmt w:val="lowerLetter"/>
      <w:pStyle w:val="Heading4"/>
      <w:lvlText w:val="(%4)"/>
      <w:lvlJc w:val="left"/>
      <w:pPr>
        <w:tabs>
          <w:tab w:val="num" w:pos="1928"/>
        </w:tabs>
        <w:ind w:left="1928" w:hanging="511"/>
      </w:pPr>
      <w:rPr>
        <w:b w:val="0"/>
        <w:i w:val="0"/>
        <w:sz w:val="20"/>
      </w:rPr>
    </w:lvl>
    <w:lvl w:ilvl="4">
      <w:start w:val="1"/>
      <w:numFmt w:val="lowerRoman"/>
      <w:pStyle w:val="Heading5"/>
      <w:lvlText w:val="(%5)"/>
      <w:lvlJc w:val="left"/>
      <w:pPr>
        <w:tabs>
          <w:tab w:val="num" w:pos="2438"/>
        </w:tabs>
        <w:ind w:left="2438" w:hanging="510"/>
      </w:pPr>
      <w:rPr>
        <w:b w:val="0"/>
        <w:i w:val="0"/>
        <w:sz w:val="18"/>
      </w:rPr>
    </w:lvl>
    <w:lvl w:ilvl="5">
      <w:start w:val="1"/>
      <w:numFmt w:val="decimal"/>
      <w:pStyle w:val="Heading6"/>
      <w:lvlText w:val="(%6)"/>
      <w:lvlJc w:val="left"/>
      <w:pPr>
        <w:tabs>
          <w:tab w:val="num" w:pos="2948"/>
        </w:tabs>
        <w:ind w:left="2948" w:hanging="510"/>
      </w:pPr>
      <w:rPr>
        <w:b w:val="0"/>
        <w:i w:val="0"/>
        <w:sz w:val="20"/>
      </w:r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decimal"/>
      <w:lvlRestart w:val="0"/>
      <w:pStyle w:val="Heading9"/>
      <w:lvlText w:val="SCHEDULE %9"/>
      <w:lvlJc w:val="left"/>
      <w:pPr>
        <w:tabs>
          <w:tab w:val="num" w:pos="0"/>
        </w:tabs>
        <w:ind w:left="0" w:firstLine="0"/>
      </w:pPr>
      <w:rPr>
        <w:b/>
        <w:i w:val="0"/>
        <w:caps/>
        <w:smallCaps w:val="0"/>
        <w:sz w:val="22"/>
      </w:rPr>
    </w:lvl>
  </w:abstractNum>
  <w:abstractNum w:abstractNumId="7" w15:restartNumberingAfterBreak="0">
    <w:nsid w:val="31F65B72"/>
    <w:multiLevelType w:val="multilevel"/>
    <w:tmpl w:val="E8A6E38A"/>
    <w:lvl w:ilvl="0">
      <w:start w:val="1"/>
      <w:numFmt w:val="lowerRoman"/>
      <w:pStyle w:val="ListRoman1"/>
      <w:lvlText w:val="(%1)"/>
      <w:lvlJc w:val="left"/>
      <w:pPr>
        <w:tabs>
          <w:tab w:val="num" w:pos="624"/>
        </w:tabs>
        <w:ind w:left="624" w:hanging="624"/>
      </w:pPr>
      <w:rPr>
        <w:rFonts w:ascii="CG Times" w:hAnsi="CG Times"/>
        <w:b w:val="0"/>
        <w:i w:val="0"/>
        <w:sz w:val="18"/>
      </w:rPr>
    </w:lvl>
    <w:lvl w:ilvl="1">
      <w:start w:val="1"/>
      <w:numFmt w:val="lowerRoman"/>
      <w:pStyle w:val="ListRoman2"/>
      <w:lvlText w:val="(%2)"/>
      <w:lvlJc w:val="left"/>
      <w:pPr>
        <w:tabs>
          <w:tab w:val="num" w:pos="1333"/>
        </w:tabs>
        <w:ind w:left="1333" w:hanging="793"/>
      </w:pPr>
      <w:rPr>
        <w:b w:val="0"/>
        <w:i w:val="0"/>
        <w:sz w:val="18"/>
      </w:rPr>
    </w:lvl>
    <w:lvl w:ilvl="2">
      <w:start w:val="1"/>
      <w:numFmt w:val="lowerRoman"/>
      <w:pStyle w:val="ListRoman3"/>
      <w:lvlText w:val="(%3)"/>
      <w:lvlJc w:val="left"/>
      <w:pPr>
        <w:tabs>
          <w:tab w:val="num" w:pos="2137"/>
        </w:tabs>
        <w:ind w:left="1928" w:hanging="511"/>
      </w:pPr>
      <w:rPr>
        <w:b w:val="0"/>
        <w:i w:val="0"/>
        <w:sz w:val="18"/>
      </w:rPr>
    </w:lvl>
    <w:lvl w:ilvl="3">
      <w:start w:val="1"/>
      <w:numFmt w:val="decimal"/>
      <w:lvlText w:val="(%4)"/>
      <w:lvlJc w:val="left"/>
      <w:pPr>
        <w:tabs>
          <w:tab w:val="num" w:pos="2438"/>
        </w:tabs>
        <w:ind w:left="2438" w:hanging="510"/>
      </w:pPr>
      <w:rPr>
        <w:b w:val="0"/>
        <w:i w:val="0"/>
        <w:sz w:val="20"/>
      </w:rPr>
    </w:lvl>
    <w:lvl w:ilvl="4">
      <w:start w:val="1"/>
      <w:numFmt w:val="lowerRoman"/>
      <w:lvlText w:val="(%5)"/>
      <w:lvlJc w:val="left"/>
      <w:pPr>
        <w:tabs>
          <w:tab w:val="num" w:pos="2438"/>
        </w:tabs>
        <w:ind w:left="2438" w:hanging="510"/>
      </w:pPr>
      <w:rPr>
        <w:b w:val="0"/>
        <w:i w:val="0"/>
        <w:sz w:val="18"/>
      </w:rPr>
    </w:lvl>
    <w:lvl w:ilvl="5">
      <w:start w:val="1"/>
      <w:numFmt w:val="decimal"/>
      <w:lvlText w:val="(%6)"/>
      <w:lvlJc w:val="left"/>
      <w:pPr>
        <w:tabs>
          <w:tab w:val="num" w:pos="2948"/>
        </w:tabs>
        <w:ind w:left="2948" w:hanging="510"/>
      </w:pPr>
      <w:rPr>
        <w:b w:val="0"/>
        <w:i w:val="0"/>
        <w:sz w:val="20"/>
      </w:r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decimal"/>
      <w:lvlRestart w:val="0"/>
      <w:lvlText w:val="SCHEDULE %9"/>
      <w:lvlJc w:val="left"/>
      <w:pPr>
        <w:tabs>
          <w:tab w:val="num" w:pos="0"/>
        </w:tabs>
        <w:ind w:left="0" w:firstLine="0"/>
      </w:pPr>
      <w:rPr>
        <w:b/>
        <w:i w:val="0"/>
        <w:caps/>
        <w:smallCaps w:val="0"/>
        <w:sz w:val="22"/>
      </w:rPr>
    </w:lvl>
  </w:abstractNum>
  <w:abstractNum w:abstractNumId="8" w15:restartNumberingAfterBreak="0">
    <w:nsid w:val="3B0B5C9C"/>
    <w:multiLevelType w:val="hybridMultilevel"/>
    <w:tmpl w:val="3A14808C"/>
    <w:lvl w:ilvl="0" w:tplc="0A0EFF42">
      <w:start w:val="1"/>
      <w:numFmt w:val="lowerLetter"/>
      <w:lvlText w:val="(%1)"/>
      <w:lvlJc w:val="left"/>
      <w:pPr>
        <w:ind w:left="1080" w:hanging="360"/>
      </w:pPr>
      <w:rPr>
        <w:rFonts w:hint="default"/>
      </w:rPr>
    </w:lvl>
    <w:lvl w:ilvl="1" w:tplc="51800BA2" w:tentative="1">
      <w:start w:val="1"/>
      <w:numFmt w:val="lowerLetter"/>
      <w:lvlText w:val="%2."/>
      <w:lvlJc w:val="left"/>
      <w:pPr>
        <w:ind w:left="1800" w:hanging="360"/>
      </w:pPr>
    </w:lvl>
    <w:lvl w:ilvl="2" w:tplc="A04E8152" w:tentative="1">
      <w:start w:val="1"/>
      <w:numFmt w:val="lowerRoman"/>
      <w:lvlText w:val="%3."/>
      <w:lvlJc w:val="right"/>
      <w:pPr>
        <w:ind w:left="2520" w:hanging="180"/>
      </w:pPr>
    </w:lvl>
    <w:lvl w:ilvl="3" w:tplc="A342A56C" w:tentative="1">
      <w:start w:val="1"/>
      <w:numFmt w:val="decimal"/>
      <w:lvlText w:val="%4."/>
      <w:lvlJc w:val="left"/>
      <w:pPr>
        <w:ind w:left="3240" w:hanging="360"/>
      </w:pPr>
    </w:lvl>
    <w:lvl w:ilvl="4" w:tplc="CD4A19B8" w:tentative="1">
      <w:start w:val="1"/>
      <w:numFmt w:val="lowerLetter"/>
      <w:lvlText w:val="%5."/>
      <w:lvlJc w:val="left"/>
      <w:pPr>
        <w:ind w:left="3960" w:hanging="360"/>
      </w:pPr>
    </w:lvl>
    <w:lvl w:ilvl="5" w:tplc="F8C08A24" w:tentative="1">
      <w:start w:val="1"/>
      <w:numFmt w:val="lowerRoman"/>
      <w:lvlText w:val="%6."/>
      <w:lvlJc w:val="right"/>
      <w:pPr>
        <w:ind w:left="4680" w:hanging="180"/>
      </w:pPr>
    </w:lvl>
    <w:lvl w:ilvl="6" w:tplc="2B6AD18E" w:tentative="1">
      <w:start w:val="1"/>
      <w:numFmt w:val="decimal"/>
      <w:lvlText w:val="%7."/>
      <w:lvlJc w:val="left"/>
      <w:pPr>
        <w:ind w:left="5400" w:hanging="360"/>
      </w:pPr>
    </w:lvl>
    <w:lvl w:ilvl="7" w:tplc="C972A30A" w:tentative="1">
      <w:start w:val="1"/>
      <w:numFmt w:val="lowerLetter"/>
      <w:lvlText w:val="%8."/>
      <w:lvlJc w:val="left"/>
      <w:pPr>
        <w:ind w:left="6120" w:hanging="360"/>
      </w:pPr>
    </w:lvl>
    <w:lvl w:ilvl="8" w:tplc="327C2D2A" w:tentative="1">
      <w:start w:val="1"/>
      <w:numFmt w:val="lowerRoman"/>
      <w:lvlText w:val="%9."/>
      <w:lvlJc w:val="right"/>
      <w:pPr>
        <w:ind w:left="6840" w:hanging="180"/>
      </w:pPr>
    </w:lvl>
  </w:abstractNum>
  <w:abstractNum w:abstractNumId="9" w15:restartNumberingAfterBreak="0">
    <w:nsid w:val="42B14279"/>
    <w:multiLevelType w:val="multilevel"/>
    <w:tmpl w:val="E75E7FE0"/>
    <w:lvl w:ilvl="0">
      <w:start w:val="1"/>
      <w:numFmt w:val="decimal"/>
      <w:lvlText w:val="%1."/>
      <w:lvlJc w:val="left"/>
      <w:pPr>
        <w:tabs>
          <w:tab w:val="num" w:pos="624"/>
        </w:tabs>
        <w:ind w:left="624" w:hanging="624"/>
      </w:pPr>
      <w:rPr>
        <w:rFonts w:ascii="CG Times" w:hAnsi="CG Times"/>
        <w:b w:val="0"/>
        <w:i w:val="0"/>
        <w:sz w:val="20"/>
      </w:rPr>
    </w:lvl>
    <w:lvl w:ilvl="1">
      <w:start w:val="1"/>
      <w:numFmt w:val="decimal"/>
      <w:lvlText w:val="%1.%2"/>
      <w:lvlJc w:val="left"/>
      <w:pPr>
        <w:tabs>
          <w:tab w:val="num" w:pos="624"/>
        </w:tabs>
        <w:ind w:left="624" w:hanging="624"/>
      </w:pPr>
      <w:rPr>
        <w:b w:val="0"/>
        <w:i w:val="0"/>
        <w:sz w:val="22"/>
        <w:szCs w:val="22"/>
      </w:rPr>
    </w:lvl>
    <w:lvl w:ilvl="2">
      <w:start w:val="1"/>
      <w:numFmt w:val="decimal"/>
      <w:lvlText w:val="%1.%2.%3"/>
      <w:lvlJc w:val="left"/>
      <w:pPr>
        <w:tabs>
          <w:tab w:val="num" w:pos="1417"/>
        </w:tabs>
        <w:ind w:left="1417" w:hanging="793"/>
      </w:pPr>
      <w:rPr>
        <w:b w:val="0"/>
        <w:i w:val="0"/>
        <w:sz w:val="18"/>
      </w:rPr>
    </w:lvl>
    <w:lvl w:ilvl="3">
      <w:start w:val="1"/>
      <w:numFmt w:val="decimal"/>
      <w:pStyle w:val="ListArabic4"/>
      <w:lvlText w:val="(%4)"/>
      <w:lvlJc w:val="left"/>
      <w:pPr>
        <w:tabs>
          <w:tab w:val="num" w:pos="2438"/>
        </w:tabs>
        <w:ind w:left="2438" w:hanging="510"/>
      </w:pPr>
      <w:rPr>
        <w:b w:val="0"/>
        <w:i w:val="0"/>
        <w:sz w:val="20"/>
      </w:rPr>
    </w:lvl>
    <w:lvl w:ilvl="4">
      <w:start w:val="1"/>
      <w:numFmt w:val="lowerRoman"/>
      <w:lvlText w:val="(%5)"/>
      <w:lvlJc w:val="left"/>
      <w:pPr>
        <w:tabs>
          <w:tab w:val="num" w:pos="2438"/>
        </w:tabs>
        <w:ind w:left="2438" w:hanging="510"/>
      </w:pPr>
      <w:rPr>
        <w:b w:val="0"/>
        <w:i w:val="0"/>
        <w:sz w:val="18"/>
      </w:rPr>
    </w:lvl>
    <w:lvl w:ilvl="5">
      <w:start w:val="1"/>
      <w:numFmt w:val="decimal"/>
      <w:lvlText w:val="(%6)"/>
      <w:lvlJc w:val="left"/>
      <w:pPr>
        <w:tabs>
          <w:tab w:val="num" w:pos="2948"/>
        </w:tabs>
        <w:ind w:left="2948" w:hanging="510"/>
      </w:pPr>
      <w:rPr>
        <w:b w:val="0"/>
        <w:i w:val="0"/>
        <w:sz w:val="20"/>
      </w:r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decimal"/>
      <w:lvlRestart w:val="0"/>
      <w:lvlText w:val="SCHEDULE %9"/>
      <w:lvlJc w:val="left"/>
      <w:pPr>
        <w:tabs>
          <w:tab w:val="num" w:pos="0"/>
        </w:tabs>
        <w:ind w:left="0" w:firstLine="0"/>
      </w:pPr>
      <w:rPr>
        <w:b/>
        <w:i w:val="0"/>
        <w:caps/>
        <w:smallCaps w:val="0"/>
        <w:sz w:val="22"/>
      </w:rPr>
    </w:lvl>
  </w:abstractNum>
  <w:abstractNum w:abstractNumId="10" w15:restartNumberingAfterBreak="0">
    <w:nsid w:val="4C4B2AEA"/>
    <w:multiLevelType w:val="multilevel"/>
    <w:tmpl w:val="3A54FA90"/>
    <w:lvl w:ilvl="0">
      <w:start w:val="1"/>
      <w:numFmt w:val="lowerLetter"/>
      <w:pStyle w:val="ListAlpha1"/>
      <w:lvlText w:val="(%1)"/>
      <w:lvlJc w:val="left"/>
      <w:pPr>
        <w:tabs>
          <w:tab w:val="num" w:pos="1524"/>
        </w:tabs>
        <w:ind w:left="1524" w:hanging="624"/>
      </w:pPr>
      <w:rPr>
        <w:rFonts w:ascii="Times New Roman" w:hAnsi="Times New Roman" w:cs="Times New Roman" w:hint="default"/>
        <w:b w:val="0"/>
        <w:i w:val="0"/>
        <w:sz w:val="22"/>
        <w:szCs w:val="22"/>
      </w:rPr>
    </w:lvl>
    <w:lvl w:ilvl="1">
      <w:start w:val="1"/>
      <w:numFmt w:val="lowerLetter"/>
      <w:pStyle w:val="ListAlpha2"/>
      <w:lvlText w:val="(%2)"/>
      <w:lvlJc w:val="left"/>
      <w:pPr>
        <w:tabs>
          <w:tab w:val="num" w:pos="2148"/>
        </w:tabs>
        <w:ind w:left="2148" w:hanging="793"/>
      </w:pPr>
      <w:rPr>
        <w:b w:val="0"/>
        <w:i w:val="0"/>
        <w:sz w:val="22"/>
        <w:szCs w:val="22"/>
      </w:rPr>
    </w:lvl>
    <w:lvl w:ilvl="2">
      <w:start w:val="1"/>
      <w:numFmt w:val="lowerLetter"/>
      <w:pStyle w:val="ListAlpha3"/>
      <w:lvlText w:val="(%3)"/>
      <w:lvlJc w:val="left"/>
      <w:pPr>
        <w:tabs>
          <w:tab w:val="num" w:pos="2659"/>
        </w:tabs>
        <w:ind w:left="2659" w:hanging="511"/>
      </w:pPr>
      <w:rPr>
        <w:b w:val="0"/>
        <w:i w:val="0"/>
        <w:sz w:val="20"/>
      </w:rPr>
    </w:lvl>
    <w:lvl w:ilvl="3">
      <w:start w:val="1"/>
      <w:numFmt w:val="lowerLetter"/>
      <w:lvlText w:val="(%4)"/>
      <w:lvlJc w:val="left"/>
      <w:pPr>
        <w:tabs>
          <w:tab w:val="num" w:pos="2659"/>
        </w:tabs>
        <w:ind w:left="2659" w:hanging="511"/>
      </w:pPr>
      <w:rPr>
        <w:b w:val="0"/>
        <w:i w:val="0"/>
        <w:sz w:val="20"/>
      </w:rPr>
    </w:lvl>
    <w:lvl w:ilvl="4">
      <w:start w:val="1"/>
      <w:numFmt w:val="lowerRoman"/>
      <w:lvlText w:val="(%5)"/>
      <w:lvlJc w:val="left"/>
      <w:pPr>
        <w:tabs>
          <w:tab w:val="num" w:pos="3169"/>
        </w:tabs>
        <w:ind w:left="3169" w:hanging="510"/>
      </w:pPr>
      <w:rPr>
        <w:b w:val="0"/>
        <w:i w:val="0"/>
        <w:sz w:val="18"/>
      </w:rPr>
    </w:lvl>
    <w:lvl w:ilvl="5">
      <w:start w:val="1"/>
      <w:numFmt w:val="decimal"/>
      <w:lvlText w:val="(%6)"/>
      <w:lvlJc w:val="left"/>
      <w:pPr>
        <w:tabs>
          <w:tab w:val="num" w:pos="3679"/>
        </w:tabs>
        <w:ind w:left="3679" w:hanging="510"/>
      </w:pPr>
      <w:rPr>
        <w:b w:val="0"/>
        <w:i w:val="0"/>
        <w:sz w:val="20"/>
      </w:rPr>
    </w:lvl>
    <w:lvl w:ilvl="6">
      <w:start w:val="1"/>
      <w:numFmt w:val="none"/>
      <w:suff w:val="nothing"/>
      <w:lvlText w:val=""/>
      <w:lvlJc w:val="left"/>
      <w:pPr>
        <w:ind w:left="731" w:firstLine="0"/>
      </w:pPr>
    </w:lvl>
    <w:lvl w:ilvl="7">
      <w:start w:val="1"/>
      <w:numFmt w:val="none"/>
      <w:suff w:val="nothing"/>
      <w:lvlText w:val=""/>
      <w:lvlJc w:val="left"/>
      <w:pPr>
        <w:ind w:left="731" w:firstLine="0"/>
      </w:pPr>
    </w:lvl>
    <w:lvl w:ilvl="8">
      <w:start w:val="1"/>
      <w:numFmt w:val="decimal"/>
      <w:lvlRestart w:val="0"/>
      <w:lvlText w:val="SCHEDULE %9"/>
      <w:lvlJc w:val="left"/>
      <w:pPr>
        <w:tabs>
          <w:tab w:val="num" w:pos="731"/>
        </w:tabs>
        <w:ind w:left="731" w:firstLine="0"/>
      </w:pPr>
      <w:rPr>
        <w:b/>
        <w:i w:val="0"/>
        <w:caps/>
        <w:smallCaps w:val="0"/>
        <w:sz w:val="22"/>
      </w:rPr>
    </w:lvl>
  </w:abstractNum>
  <w:abstractNum w:abstractNumId="11" w15:restartNumberingAfterBreak="0">
    <w:nsid w:val="4EB37BDD"/>
    <w:multiLevelType w:val="multilevel"/>
    <w:tmpl w:val="55E80F48"/>
    <w:lvl w:ilvl="0">
      <w:start w:val="4"/>
      <w:numFmt w:val="decimal"/>
      <w:lvlText w:val="%1."/>
      <w:lvlJc w:val="left"/>
      <w:pPr>
        <w:ind w:left="540" w:hanging="540"/>
      </w:pPr>
      <w:rPr>
        <w:rFonts w:hint="default"/>
      </w:rPr>
    </w:lvl>
    <w:lvl w:ilvl="1">
      <w:start w:val="2"/>
      <w:numFmt w:val="decimal"/>
      <w:lvlText w:val="%1.%2."/>
      <w:lvlJc w:val="left"/>
      <w:pPr>
        <w:ind w:left="900" w:hanging="54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2" w15:restartNumberingAfterBreak="0">
    <w:nsid w:val="6A5352AF"/>
    <w:multiLevelType w:val="hybridMultilevel"/>
    <w:tmpl w:val="214823E2"/>
    <w:lvl w:ilvl="0" w:tplc="38C2BEEA">
      <w:start w:val="1"/>
      <w:numFmt w:val="lowerLetter"/>
      <w:lvlText w:val="(%1)"/>
      <w:lvlJc w:val="left"/>
      <w:pPr>
        <w:tabs>
          <w:tab w:val="num" w:pos="1440"/>
        </w:tabs>
        <w:ind w:left="1440" w:hanging="720"/>
      </w:pPr>
      <w:rPr>
        <w:rFonts w:ascii="Arial" w:hAnsi="Arial" w:cs="Arial" w:hint="default"/>
        <w:b w:val="0"/>
        <w:i w:val="0"/>
        <w:color w:val="auto"/>
        <w:sz w:val="20"/>
        <w:szCs w:val="20"/>
      </w:rPr>
    </w:lvl>
    <w:lvl w:ilvl="1" w:tplc="C0228A00">
      <w:start w:val="1"/>
      <w:numFmt w:val="lowerRoman"/>
      <w:lvlText w:val="(%2)"/>
      <w:lvlJc w:val="left"/>
      <w:pPr>
        <w:tabs>
          <w:tab w:val="num" w:pos="2160"/>
        </w:tabs>
        <w:ind w:left="2160" w:hanging="720"/>
      </w:pPr>
      <w:rPr>
        <w:rFonts w:hint="default"/>
        <w:b w:val="0"/>
        <w:i w:val="0"/>
      </w:rPr>
    </w:lvl>
    <w:lvl w:ilvl="2" w:tplc="91FCE3B0" w:tentative="1">
      <w:start w:val="1"/>
      <w:numFmt w:val="lowerRoman"/>
      <w:lvlText w:val="%3."/>
      <w:lvlJc w:val="right"/>
      <w:pPr>
        <w:tabs>
          <w:tab w:val="num" w:pos="2160"/>
        </w:tabs>
        <w:ind w:left="2160" w:hanging="180"/>
      </w:pPr>
    </w:lvl>
    <w:lvl w:ilvl="3" w:tplc="9A38F4D0" w:tentative="1">
      <w:start w:val="1"/>
      <w:numFmt w:val="decimal"/>
      <w:lvlText w:val="%4."/>
      <w:lvlJc w:val="left"/>
      <w:pPr>
        <w:tabs>
          <w:tab w:val="num" w:pos="2880"/>
        </w:tabs>
        <w:ind w:left="2880" w:hanging="360"/>
      </w:pPr>
    </w:lvl>
    <w:lvl w:ilvl="4" w:tplc="568486AA" w:tentative="1">
      <w:start w:val="1"/>
      <w:numFmt w:val="lowerLetter"/>
      <w:lvlText w:val="%5."/>
      <w:lvlJc w:val="left"/>
      <w:pPr>
        <w:tabs>
          <w:tab w:val="num" w:pos="3600"/>
        </w:tabs>
        <w:ind w:left="3600" w:hanging="360"/>
      </w:pPr>
    </w:lvl>
    <w:lvl w:ilvl="5" w:tplc="A956D74E" w:tentative="1">
      <w:start w:val="1"/>
      <w:numFmt w:val="lowerRoman"/>
      <w:lvlText w:val="%6."/>
      <w:lvlJc w:val="right"/>
      <w:pPr>
        <w:tabs>
          <w:tab w:val="num" w:pos="4320"/>
        </w:tabs>
        <w:ind w:left="4320" w:hanging="180"/>
      </w:pPr>
    </w:lvl>
    <w:lvl w:ilvl="6" w:tplc="462A0EAC" w:tentative="1">
      <w:start w:val="1"/>
      <w:numFmt w:val="decimal"/>
      <w:lvlText w:val="%7."/>
      <w:lvlJc w:val="left"/>
      <w:pPr>
        <w:tabs>
          <w:tab w:val="num" w:pos="5040"/>
        </w:tabs>
        <w:ind w:left="5040" w:hanging="360"/>
      </w:pPr>
    </w:lvl>
    <w:lvl w:ilvl="7" w:tplc="2222CCCC" w:tentative="1">
      <w:start w:val="1"/>
      <w:numFmt w:val="lowerLetter"/>
      <w:lvlText w:val="%8."/>
      <w:lvlJc w:val="left"/>
      <w:pPr>
        <w:tabs>
          <w:tab w:val="num" w:pos="5760"/>
        </w:tabs>
        <w:ind w:left="5760" w:hanging="360"/>
      </w:pPr>
    </w:lvl>
    <w:lvl w:ilvl="8" w:tplc="65D2B514" w:tentative="1">
      <w:start w:val="1"/>
      <w:numFmt w:val="lowerRoman"/>
      <w:lvlText w:val="%9."/>
      <w:lvlJc w:val="right"/>
      <w:pPr>
        <w:tabs>
          <w:tab w:val="num" w:pos="6480"/>
        </w:tabs>
        <w:ind w:left="6480" w:hanging="180"/>
      </w:pPr>
    </w:lvl>
  </w:abstractNum>
  <w:abstractNum w:abstractNumId="13" w15:restartNumberingAfterBreak="0">
    <w:nsid w:val="787575C3"/>
    <w:multiLevelType w:val="hybridMultilevel"/>
    <w:tmpl w:val="FC2A69B2"/>
    <w:lvl w:ilvl="0" w:tplc="41FE19F2">
      <w:start w:val="1"/>
      <w:numFmt w:val="decimal"/>
      <w:lvlText w:val="%1."/>
      <w:lvlJc w:val="left"/>
      <w:pPr>
        <w:ind w:left="720" w:hanging="360"/>
      </w:pPr>
    </w:lvl>
    <w:lvl w:ilvl="1" w:tplc="D4ECE1B4" w:tentative="1">
      <w:start w:val="1"/>
      <w:numFmt w:val="lowerLetter"/>
      <w:lvlText w:val="%2."/>
      <w:lvlJc w:val="left"/>
      <w:pPr>
        <w:ind w:left="1440" w:hanging="360"/>
      </w:pPr>
    </w:lvl>
    <w:lvl w:ilvl="2" w:tplc="55981500" w:tentative="1">
      <w:start w:val="1"/>
      <w:numFmt w:val="lowerRoman"/>
      <w:lvlText w:val="%3."/>
      <w:lvlJc w:val="right"/>
      <w:pPr>
        <w:ind w:left="2160" w:hanging="180"/>
      </w:pPr>
    </w:lvl>
    <w:lvl w:ilvl="3" w:tplc="1F6E07D4" w:tentative="1">
      <w:start w:val="1"/>
      <w:numFmt w:val="decimal"/>
      <w:lvlText w:val="%4."/>
      <w:lvlJc w:val="left"/>
      <w:pPr>
        <w:ind w:left="2880" w:hanging="360"/>
      </w:pPr>
    </w:lvl>
    <w:lvl w:ilvl="4" w:tplc="8A08D2A8" w:tentative="1">
      <w:start w:val="1"/>
      <w:numFmt w:val="lowerLetter"/>
      <w:lvlText w:val="%5."/>
      <w:lvlJc w:val="left"/>
      <w:pPr>
        <w:ind w:left="3600" w:hanging="360"/>
      </w:pPr>
    </w:lvl>
    <w:lvl w:ilvl="5" w:tplc="058ADD34" w:tentative="1">
      <w:start w:val="1"/>
      <w:numFmt w:val="lowerRoman"/>
      <w:lvlText w:val="%6."/>
      <w:lvlJc w:val="right"/>
      <w:pPr>
        <w:ind w:left="4320" w:hanging="180"/>
      </w:pPr>
    </w:lvl>
    <w:lvl w:ilvl="6" w:tplc="94D67DEC" w:tentative="1">
      <w:start w:val="1"/>
      <w:numFmt w:val="decimal"/>
      <w:lvlText w:val="%7."/>
      <w:lvlJc w:val="left"/>
      <w:pPr>
        <w:ind w:left="5040" w:hanging="360"/>
      </w:pPr>
    </w:lvl>
    <w:lvl w:ilvl="7" w:tplc="6E1CB134" w:tentative="1">
      <w:start w:val="1"/>
      <w:numFmt w:val="lowerLetter"/>
      <w:lvlText w:val="%8."/>
      <w:lvlJc w:val="left"/>
      <w:pPr>
        <w:ind w:left="5760" w:hanging="360"/>
      </w:pPr>
    </w:lvl>
    <w:lvl w:ilvl="8" w:tplc="A774890E" w:tentative="1">
      <w:start w:val="1"/>
      <w:numFmt w:val="lowerRoman"/>
      <w:lvlText w:val="%9."/>
      <w:lvlJc w:val="right"/>
      <w:pPr>
        <w:ind w:left="6480" w:hanging="180"/>
      </w:pPr>
    </w:lvl>
  </w:abstractNum>
  <w:abstractNum w:abstractNumId="14" w15:restartNumberingAfterBreak="0">
    <w:nsid w:val="78B76571"/>
    <w:multiLevelType w:val="hybridMultilevel"/>
    <w:tmpl w:val="F18E705C"/>
    <w:lvl w:ilvl="0" w:tplc="BB900666">
      <w:start w:val="1"/>
      <w:numFmt w:val="lowerRoman"/>
      <w:lvlText w:val="(%1)"/>
      <w:lvlJc w:val="left"/>
      <w:pPr>
        <w:ind w:left="2160" w:hanging="360"/>
      </w:pPr>
      <w:rPr>
        <w:rFonts w:hint="default"/>
      </w:rPr>
    </w:lvl>
    <w:lvl w:ilvl="1" w:tplc="F66C1094" w:tentative="1">
      <w:start w:val="1"/>
      <w:numFmt w:val="lowerLetter"/>
      <w:lvlText w:val="%2."/>
      <w:lvlJc w:val="left"/>
      <w:pPr>
        <w:ind w:left="2880" w:hanging="360"/>
      </w:pPr>
    </w:lvl>
    <w:lvl w:ilvl="2" w:tplc="3CC81492" w:tentative="1">
      <w:start w:val="1"/>
      <w:numFmt w:val="lowerRoman"/>
      <w:lvlText w:val="%3."/>
      <w:lvlJc w:val="right"/>
      <w:pPr>
        <w:ind w:left="3600" w:hanging="180"/>
      </w:pPr>
    </w:lvl>
    <w:lvl w:ilvl="3" w:tplc="8EA61716" w:tentative="1">
      <w:start w:val="1"/>
      <w:numFmt w:val="decimal"/>
      <w:lvlText w:val="%4."/>
      <w:lvlJc w:val="left"/>
      <w:pPr>
        <w:ind w:left="4320" w:hanging="360"/>
      </w:pPr>
    </w:lvl>
    <w:lvl w:ilvl="4" w:tplc="019ADCC8" w:tentative="1">
      <w:start w:val="1"/>
      <w:numFmt w:val="lowerLetter"/>
      <w:lvlText w:val="%5."/>
      <w:lvlJc w:val="left"/>
      <w:pPr>
        <w:ind w:left="5040" w:hanging="360"/>
      </w:pPr>
    </w:lvl>
    <w:lvl w:ilvl="5" w:tplc="80A000D0" w:tentative="1">
      <w:start w:val="1"/>
      <w:numFmt w:val="lowerRoman"/>
      <w:lvlText w:val="%6."/>
      <w:lvlJc w:val="right"/>
      <w:pPr>
        <w:ind w:left="5760" w:hanging="180"/>
      </w:pPr>
    </w:lvl>
    <w:lvl w:ilvl="6" w:tplc="A24A7508" w:tentative="1">
      <w:start w:val="1"/>
      <w:numFmt w:val="decimal"/>
      <w:lvlText w:val="%7."/>
      <w:lvlJc w:val="left"/>
      <w:pPr>
        <w:ind w:left="6480" w:hanging="360"/>
      </w:pPr>
    </w:lvl>
    <w:lvl w:ilvl="7" w:tplc="141E0E5E" w:tentative="1">
      <w:start w:val="1"/>
      <w:numFmt w:val="lowerLetter"/>
      <w:lvlText w:val="%8."/>
      <w:lvlJc w:val="left"/>
      <w:pPr>
        <w:ind w:left="7200" w:hanging="360"/>
      </w:pPr>
    </w:lvl>
    <w:lvl w:ilvl="8" w:tplc="A6B4EEB2" w:tentative="1">
      <w:start w:val="1"/>
      <w:numFmt w:val="lowerRoman"/>
      <w:lvlText w:val="%9."/>
      <w:lvlJc w:val="right"/>
      <w:pPr>
        <w:ind w:left="7920" w:hanging="180"/>
      </w:pPr>
    </w:lvl>
  </w:abstractNum>
  <w:abstractNum w:abstractNumId="15" w15:restartNumberingAfterBreak="0">
    <w:nsid w:val="7C6343F7"/>
    <w:multiLevelType w:val="hybridMultilevel"/>
    <w:tmpl w:val="2F94894C"/>
    <w:lvl w:ilvl="0" w:tplc="A8266804">
      <w:start w:val="1"/>
      <w:numFmt w:val="lowerLetter"/>
      <w:lvlText w:val="(%1)"/>
      <w:lvlJc w:val="left"/>
      <w:pPr>
        <w:tabs>
          <w:tab w:val="num" w:pos="1080"/>
        </w:tabs>
        <w:ind w:left="1080" w:hanging="360"/>
      </w:pPr>
      <w:rPr>
        <w:rFonts w:hint="default"/>
      </w:rPr>
    </w:lvl>
    <w:lvl w:ilvl="1" w:tplc="E9668964" w:tentative="1">
      <w:start w:val="1"/>
      <w:numFmt w:val="lowerLetter"/>
      <w:lvlText w:val="%2."/>
      <w:lvlJc w:val="left"/>
      <w:pPr>
        <w:tabs>
          <w:tab w:val="num" w:pos="1800"/>
        </w:tabs>
        <w:ind w:left="1800" w:hanging="360"/>
      </w:pPr>
    </w:lvl>
    <w:lvl w:ilvl="2" w:tplc="65689EC6" w:tentative="1">
      <w:start w:val="1"/>
      <w:numFmt w:val="lowerRoman"/>
      <w:lvlText w:val="%3."/>
      <w:lvlJc w:val="right"/>
      <w:pPr>
        <w:tabs>
          <w:tab w:val="num" w:pos="2520"/>
        </w:tabs>
        <w:ind w:left="2520" w:hanging="180"/>
      </w:pPr>
    </w:lvl>
    <w:lvl w:ilvl="3" w:tplc="A906C940" w:tentative="1">
      <w:start w:val="1"/>
      <w:numFmt w:val="decimal"/>
      <w:lvlText w:val="%4."/>
      <w:lvlJc w:val="left"/>
      <w:pPr>
        <w:tabs>
          <w:tab w:val="num" w:pos="3240"/>
        </w:tabs>
        <w:ind w:left="3240" w:hanging="360"/>
      </w:pPr>
    </w:lvl>
    <w:lvl w:ilvl="4" w:tplc="5984B8F4" w:tentative="1">
      <w:start w:val="1"/>
      <w:numFmt w:val="lowerLetter"/>
      <w:lvlText w:val="%5."/>
      <w:lvlJc w:val="left"/>
      <w:pPr>
        <w:tabs>
          <w:tab w:val="num" w:pos="3960"/>
        </w:tabs>
        <w:ind w:left="3960" w:hanging="360"/>
      </w:pPr>
    </w:lvl>
    <w:lvl w:ilvl="5" w:tplc="1B726932" w:tentative="1">
      <w:start w:val="1"/>
      <w:numFmt w:val="lowerRoman"/>
      <w:lvlText w:val="%6."/>
      <w:lvlJc w:val="right"/>
      <w:pPr>
        <w:tabs>
          <w:tab w:val="num" w:pos="4680"/>
        </w:tabs>
        <w:ind w:left="4680" w:hanging="180"/>
      </w:pPr>
    </w:lvl>
    <w:lvl w:ilvl="6" w:tplc="266A0D3C" w:tentative="1">
      <w:start w:val="1"/>
      <w:numFmt w:val="decimal"/>
      <w:lvlText w:val="%7."/>
      <w:lvlJc w:val="left"/>
      <w:pPr>
        <w:tabs>
          <w:tab w:val="num" w:pos="5400"/>
        </w:tabs>
        <w:ind w:left="5400" w:hanging="360"/>
      </w:pPr>
    </w:lvl>
    <w:lvl w:ilvl="7" w:tplc="298420B0" w:tentative="1">
      <w:start w:val="1"/>
      <w:numFmt w:val="lowerLetter"/>
      <w:lvlText w:val="%8."/>
      <w:lvlJc w:val="left"/>
      <w:pPr>
        <w:tabs>
          <w:tab w:val="num" w:pos="6120"/>
        </w:tabs>
        <w:ind w:left="6120" w:hanging="360"/>
      </w:pPr>
    </w:lvl>
    <w:lvl w:ilvl="8" w:tplc="47969F58" w:tentative="1">
      <w:start w:val="1"/>
      <w:numFmt w:val="lowerRoman"/>
      <w:lvlText w:val="%9."/>
      <w:lvlJc w:val="right"/>
      <w:pPr>
        <w:tabs>
          <w:tab w:val="num" w:pos="6840"/>
        </w:tabs>
        <w:ind w:left="6840" w:hanging="180"/>
      </w:pPr>
    </w:lvl>
  </w:abstractNum>
  <w:abstractNum w:abstractNumId="16" w15:restartNumberingAfterBreak="0">
    <w:nsid w:val="7E640F4F"/>
    <w:multiLevelType w:val="hybridMultilevel"/>
    <w:tmpl w:val="FA7E642E"/>
    <w:lvl w:ilvl="0" w:tplc="D8862A7A">
      <w:start w:val="1"/>
      <w:numFmt w:val="lowerRoman"/>
      <w:lvlText w:val="(%1)"/>
      <w:lvlJc w:val="left"/>
      <w:pPr>
        <w:ind w:left="2160" w:hanging="720"/>
      </w:pPr>
      <w:rPr>
        <w:rFonts w:hint="default"/>
      </w:rPr>
    </w:lvl>
    <w:lvl w:ilvl="1" w:tplc="DF0C7B78" w:tentative="1">
      <w:start w:val="1"/>
      <w:numFmt w:val="lowerLetter"/>
      <w:lvlText w:val="%2."/>
      <w:lvlJc w:val="left"/>
      <w:pPr>
        <w:ind w:left="2520" w:hanging="360"/>
      </w:pPr>
    </w:lvl>
    <w:lvl w:ilvl="2" w:tplc="44EC9A38" w:tentative="1">
      <w:start w:val="1"/>
      <w:numFmt w:val="lowerRoman"/>
      <w:lvlText w:val="%3."/>
      <w:lvlJc w:val="right"/>
      <w:pPr>
        <w:ind w:left="3240" w:hanging="180"/>
      </w:pPr>
    </w:lvl>
    <w:lvl w:ilvl="3" w:tplc="D68651B8" w:tentative="1">
      <w:start w:val="1"/>
      <w:numFmt w:val="decimal"/>
      <w:lvlText w:val="%4."/>
      <w:lvlJc w:val="left"/>
      <w:pPr>
        <w:ind w:left="3960" w:hanging="360"/>
      </w:pPr>
    </w:lvl>
    <w:lvl w:ilvl="4" w:tplc="75F6C6C0" w:tentative="1">
      <w:start w:val="1"/>
      <w:numFmt w:val="lowerLetter"/>
      <w:lvlText w:val="%5."/>
      <w:lvlJc w:val="left"/>
      <w:pPr>
        <w:ind w:left="4680" w:hanging="360"/>
      </w:pPr>
    </w:lvl>
    <w:lvl w:ilvl="5" w:tplc="4412F8E2" w:tentative="1">
      <w:start w:val="1"/>
      <w:numFmt w:val="lowerRoman"/>
      <w:lvlText w:val="%6."/>
      <w:lvlJc w:val="right"/>
      <w:pPr>
        <w:ind w:left="5400" w:hanging="180"/>
      </w:pPr>
    </w:lvl>
    <w:lvl w:ilvl="6" w:tplc="78722C16" w:tentative="1">
      <w:start w:val="1"/>
      <w:numFmt w:val="decimal"/>
      <w:lvlText w:val="%7."/>
      <w:lvlJc w:val="left"/>
      <w:pPr>
        <w:ind w:left="6120" w:hanging="360"/>
      </w:pPr>
    </w:lvl>
    <w:lvl w:ilvl="7" w:tplc="CA362CC4" w:tentative="1">
      <w:start w:val="1"/>
      <w:numFmt w:val="lowerLetter"/>
      <w:lvlText w:val="%8."/>
      <w:lvlJc w:val="left"/>
      <w:pPr>
        <w:ind w:left="6840" w:hanging="360"/>
      </w:pPr>
    </w:lvl>
    <w:lvl w:ilvl="8" w:tplc="BBAEB53E" w:tentative="1">
      <w:start w:val="1"/>
      <w:numFmt w:val="lowerRoman"/>
      <w:lvlText w:val="%9."/>
      <w:lvlJc w:val="right"/>
      <w:pPr>
        <w:ind w:left="7560" w:hanging="180"/>
      </w:pPr>
    </w:lvl>
  </w:abstractNum>
  <w:num w:numId="1" w16cid:durableId="342173681">
    <w:abstractNumId w:val="6"/>
  </w:num>
  <w:num w:numId="2" w16cid:durableId="81998052">
    <w:abstractNumId w:val="9"/>
  </w:num>
  <w:num w:numId="3" w16cid:durableId="852887724">
    <w:abstractNumId w:val="7"/>
  </w:num>
  <w:num w:numId="4" w16cid:durableId="765148514">
    <w:abstractNumId w:val="10"/>
  </w:num>
  <w:num w:numId="5" w16cid:durableId="1594246640">
    <w:abstractNumId w:val="12"/>
  </w:num>
  <w:num w:numId="6" w16cid:durableId="1169636721">
    <w:abstractNumId w:val="0"/>
  </w:num>
  <w:num w:numId="7" w16cid:durableId="1459228183">
    <w:abstractNumId w:val="4"/>
  </w:num>
  <w:num w:numId="8" w16cid:durableId="715197084">
    <w:abstractNumId w:val="15"/>
  </w:num>
  <w:num w:numId="9" w16cid:durableId="1349480831">
    <w:abstractNumId w:val="11"/>
  </w:num>
  <w:num w:numId="10" w16cid:durableId="130294808">
    <w:abstractNumId w:val="3"/>
  </w:num>
  <w:num w:numId="11" w16cid:durableId="1561164091">
    <w:abstractNumId w:val="2"/>
  </w:num>
  <w:num w:numId="12" w16cid:durableId="795416084">
    <w:abstractNumId w:val="16"/>
  </w:num>
  <w:num w:numId="13" w16cid:durableId="379675537">
    <w:abstractNumId w:val="1"/>
  </w:num>
  <w:num w:numId="14" w16cid:durableId="1057700137">
    <w:abstractNumId w:val="13"/>
  </w:num>
  <w:num w:numId="15" w16cid:durableId="1252352361">
    <w:abstractNumId w:val="5"/>
  </w:num>
  <w:num w:numId="16" w16cid:durableId="337734130">
    <w:abstractNumId w:val="8"/>
  </w:num>
  <w:num w:numId="17" w16cid:durableId="71581605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NotTrackFormatting/>
  <w:defaultTabStop w:val="720"/>
  <w:noPunctuationKerning/>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644C6"/>
    <w:rsid w:val="00002A73"/>
    <w:rsid w:val="00063648"/>
    <w:rsid w:val="001266EF"/>
    <w:rsid w:val="0016238B"/>
    <w:rsid w:val="00245CA9"/>
    <w:rsid w:val="0045720C"/>
    <w:rsid w:val="00655860"/>
    <w:rsid w:val="008644C6"/>
    <w:rsid w:val="00C8140D"/>
    <w:rsid w:val="00E624F4"/>
    <w:rsid w:val="00E9663A"/>
  </w:rsids>
  <m:mathPr>
    <m:mathFont m:val="Cambria Math"/>
    <m:brkBin m:val="before"/>
    <m:brkBinSub m:val="--"/>
    <m:smallFrac m:val="0"/>
    <m:dispDef/>
    <m:lMargin m:val="0"/>
    <m:rMargin m:val="0"/>
    <m:defJc m:val="centerGroup"/>
    <m:wrapIndent m:val="1440"/>
    <m:intLim m:val="subSup"/>
    <m:naryLim m:val="undOvr"/>
  </m:mathPr>
  <w:themeFontLang w:val="en-MY"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8C1429D"/>
  <w15:docId w15:val="{3B28748A-01DF-40B4-8121-CE3BFB632A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MY" w:eastAsia="en-MY"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n-US" w:eastAsia="en-US"/>
    </w:rPr>
  </w:style>
  <w:style w:type="paragraph" w:styleId="Heading1">
    <w:name w:val="heading 1"/>
    <w:basedOn w:val="Normal"/>
    <w:next w:val="BodyText"/>
    <w:qFormat/>
    <w:pPr>
      <w:keepNext/>
      <w:numPr>
        <w:numId w:val="1"/>
      </w:numPr>
      <w:tabs>
        <w:tab w:val="left" w:pos="22"/>
      </w:tabs>
      <w:spacing w:before="100" w:after="100" w:line="288" w:lineRule="auto"/>
      <w:jc w:val="both"/>
      <w:outlineLvl w:val="0"/>
    </w:pPr>
    <w:rPr>
      <w:rFonts w:ascii="CG Times" w:eastAsia="SimSun" w:hAnsi="CG Times"/>
      <w:b/>
      <w:caps/>
      <w:kern w:val="28"/>
      <w:sz w:val="20"/>
      <w:szCs w:val="20"/>
      <w:lang w:val="en-GB"/>
    </w:rPr>
  </w:style>
  <w:style w:type="paragraph" w:styleId="Heading2">
    <w:name w:val="heading 2"/>
    <w:basedOn w:val="Normal"/>
    <w:next w:val="BodyText"/>
    <w:qFormat/>
    <w:pPr>
      <w:numPr>
        <w:ilvl w:val="1"/>
        <w:numId w:val="1"/>
      </w:numPr>
      <w:tabs>
        <w:tab w:val="left" w:pos="22"/>
      </w:tabs>
      <w:spacing w:after="200" w:line="288" w:lineRule="auto"/>
      <w:jc w:val="both"/>
      <w:outlineLvl w:val="1"/>
    </w:pPr>
    <w:rPr>
      <w:rFonts w:ascii="CG Times" w:eastAsia="SimSun" w:hAnsi="CG Times"/>
      <w:kern w:val="24"/>
      <w:sz w:val="22"/>
      <w:szCs w:val="20"/>
      <w:lang w:val="en-GB"/>
    </w:rPr>
  </w:style>
  <w:style w:type="paragraph" w:styleId="Heading3">
    <w:name w:val="heading 3"/>
    <w:basedOn w:val="Normal"/>
    <w:next w:val="BodyText2"/>
    <w:qFormat/>
    <w:pPr>
      <w:numPr>
        <w:ilvl w:val="2"/>
        <w:numId w:val="1"/>
      </w:numPr>
      <w:tabs>
        <w:tab w:val="left" w:pos="50"/>
      </w:tabs>
      <w:spacing w:after="200" w:line="288" w:lineRule="auto"/>
      <w:jc w:val="both"/>
      <w:outlineLvl w:val="2"/>
    </w:pPr>
    <w:rPr>
      <w:rFonts w:ascii="CG Times" w:eastAsia="SimSun" w:hAnsi="CG Times"/>
      <w:sz w:val="22"/>
      <w:szCs w:val="20"/>
      <w:lang w:val="en-GB"/>
    </w:rPr>
  </w:style>
  <w:style w:type="paragraph" w:styleId="Heading4">
    <w:name w:val="heading 4"/>
    <w:basedOn w:val="Normal"/>
    <w:next w:val="BodyText3"/>
    <w:qFormat/>
    <w:pPr>
      <w:numPr>
        <w:ilvl w:val="3"/>
        <w:numId w:val="1"/>
      </w:numPr>
      <w:tabs>
        <w:tab w:val="left" w:pos="68"/>
      </w:tabs>
      <w:spacing w:after="200" w:line="288" w:lineRule="auto"/>
      <w:jc w:val="both"/>
      <w:outlineLvl w:val="3"/>
    </w:pPr>
    <w:rPr>
      <w:rFonts w:ascii="CG Times" w:eastAsia="SimSun" w:hAnsi="CG Times"/>
      <w:sz w:val="22"/>
      <w:szCs w:val="20"/>
      <w:lang w:val="en-GB"/>
    </w:rPr>
  </w:style>
  <w:style w:type="paragraph" w:styleId="Heading5">
    <w:name w:val="heading 5"/>
    <w:basedOn w:val="Normal"/>
    <w:next w:val="Normal"/>
    <w:qFormat/>
    <w:pPr>
      <w:numPr>
        <w:ilvl w:val="4"/>
        <w:numId w:val="1"/>
      </w:numPr>
      <w:tabs>
        <w:tab w:val="left" w:pos="86"/>
      </w:tabs>
      <w:spacing w:after="200" w:line="288" w:lineRule="auto"/>
      <w:jc w:val="both"/>
      <w:outlineLvl w:val="4"/>
    </w:pPr>
    <w:rPr>
      <w:rFonts w:ascii="CG Times" w:eastAsia="SimSun" w:hAnsi="CG Times"/>
      <w:sz w:val="22"/>
      <w:szCs w:val="20"/>
      <w:lang w:val="en-GB"/>
    </w:rPr>
  </w:style>
  <w:style w:type="paragraph" w:styleId="Heading6">
    <w:name w:val="heading 6"/>
    <w:basedOn w:val="Normal"/>
    <w:next w:val="Normal"/>
    <w:qFormat/>
    <w:pPr>
      <w:numPr>
        <w:ilvl w:val="5"/>
        <w:numId w:val="1"/>
      </w:numPr>
      <w:tabs>
        <w:tab w:val="left" w:pos="104"/>
      </w:tabs>
      <w:spacing w:after="200" w:line="288" w:lineRule="auto"/>
      <w:jc w:val="both"/>
      <w:outlineLvl w:val="5"/>
    </w:pPr>
    <w:rPr>
      <w:rFonts w:ascii="CG Times" w:eastAsia="SimSun" w:hAnsi="CG Times"/>
      <w:sz w:val="22"/>
      <w:szCs w:val="20"/>
      <w:lang w:val="en-GB"/>
    </w:rPr>
  </w:style>
  <w:style w:type="paragraph" w:styleId="Heading7">
    <w:name w:val="heading 7"/>
    <w:basedOn w:val="Normal"/>
    <w:next w:val="Normal"/>
    <w:qFormat/>
    <w:pPr>
      <w:numPr>
        <w:ilvl w:val="6"/>
        <w:numId w:val="1"/>
      </w:numPr>
      <w:spacing w:line="288" w:lineRule="auto"/>
      <w:jc w:val="both"/>
      <w:outlineLvl w:val="6"/>
    </w:pPr>
    <w:rPr>
      <w:rFonts w:ascii="CG Times" w:eastAsia="SimSun" w:hAnsi="CG Times"/>
      <w:sz w:val="22"/>
      <w:szCs w:val="20"/>
      <w:lang w:val="en-GB"/>
    </w:rPr>
  </w:style>
  <w:style w:type="paragraph" w:styleId="Heading8">
    <w:name w:val="heading 8"/>
    <w:basedOn w:val="Normal"/>
    <w:next w:val="Normal"/>
    <w:qFormat/>
    <w:pPr>
      <w:numPr>
        <w:ilvl w:val="7"/>
        <w:numId w:val="1"/>
      </w:numPr>
      <w:spacing w:line="288" w:lineRule="auto"/>
      <w:jc w:val="both"/>
      <w:outlineLvl w:val="7"/>
    </w:pPr>
    <w:rPr>
      <w:rFonts w:ascii="CG Times" w:eastAsia="SimSun" w:hAnsi="CG Times"/>
      <w:sz w:val="22"/>
      <w:szCs w:val="20"/>
      <w:lang w:val="en-GB"/>
    </w:rPr>
  </w:style>
  <w:style w:type="paragraph" w:styleId="Heading9">
    <w:name w:val="heading 9"/>
    <w:basedOn w:val="Normal"/>
    <w:next w:val="Normal"/>
    <w:qFormat/>
    <w:pPr>
      <w:pageBreakBefore/>
      <w:numPr>
        <w:ilvl w:val="8"/>
        <w:numId w:val="1"/>
      </w:numPr>
      <w:tabs>
        <w:tab w:val="left" w:pos="1440"/>
      </w:tabs>
      <w:suppressAutoHyphens/>
      <w:spacing w:after="300" w:line="336" w:lineRule="auto"/>
      <w:jc w:val="center"/>
      <w:outlineLvl w:val="8"/>
    </w:pPr>
    <w:rPr>
      <w:rFonts w:ascii="CG Times" w:eastAsia="SimSun" w:hAnsi="CG Times"/>
      <w:b/>
      <w:smallCaps/>
      <w:sz w:val="21"/>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semiHidden/>
    <w:pPr>
      <w:spacing w:after="120"/>
    </w:pPr>
    <w:rPr>
      <w:rFonts w:eastAsia="SimSun"/>
    </w:rPr>
  </w:style>
  <w:style w:type="paragraph" w:styleId="BodyText2">
    <w:name w:val="Body Text 2"/>
    <w:basedOn w:val="Normal"/>
    <w:semiHidden/>
    <w:pPr>
      <w:spacing w:after="120" w:line="480" w:lineRule="auto"/>
    </w:pPr>
    <w:rPr>
      <w:rFonts w:eastAsia="SimSun"/>
    </w:rPr>
  </w:style>
  <w:style w:type="paragraph" w:styleId="BodyText3">
    <w:name w:val="Body Text 3"/>
    <w:basedOn w:val="Normal"/>
    <w:semiHidden/>
    <w:pPr>
      <w:spacing w:after="120"/>
    </w:pPr>
    <w:rPr>
      <w:rFonts w:eastAsia="SimSun"/>
      <w:sz w:val="16"/>
      <w:szCs w:val="16"/>
    </w:rPr>
  </w:style>
  <w:style w:type="paragraph" w:customStyle="1" w:styleId="ListAlpha1">
    <w:name w:val="List Alpha 1"/>
    <w:basedOn w:val="Normal"/>
    <w:next w:val="BodyText"/>
    <w:pPr>
      <w:numPr>
        <w:numId w:val="4"/>
      </w:numPr>
      <w:tabs>
        <w:tab w:val="left" w:pos="22"/>
      </w:tabs>
      <w:spacing w:after="200" w:line="288" w:lineRule="auto"/>
      <w:jc w:val="both"/>
    </w:pPr>
    <w:rPr>
      <w:rFonts w:ascii="CG Times" w:eastAsia="Batang" w:hAnsi="CG Times"/>
      <w:sz w:val="22"/>
      <w:szCs w:val="20"/>
      <w:lang w:val="en-GB" w:eastAsia="ko-KR"/>
    </w:rPr>
  </w:style>
  <w:style w:type="paragraph" w:customStyle="1" w:styleId="ListAlpha2">
    <w:name w:val="List Alpha 2"/>
    <w:basedOn w:val="Normal"/>
    <w:next w:val="BodyText2"/>
    <w:pPr>
      <w:numPr>
        <w:ilvl w:val="1"/>
        <w:numId w:val="4"/>
      </w:numPr>
      <w:tabs>
        <w:tab w:val="left" w:pos="50"/>
      </w:tabs>
      <w:spacing w:after="200" w:line="288" w:lineRule="auto"/>
      <w:jc w:val="both"/>
    </w:pPr>
    <w:rPr>
      <w:rFonts w:ascii="CG Times" w:eastAsia="Batang" w:hAnsi="CG Times"/>
      <w:sz w:val="22"/>
      <w:szCs w:val="20"/>
      <w:lang w:val="en-GB" w:eastAsia="ko-KR"/>
    </w:rPr>
  </w:style>
  <w:style w:type="paragraph" w:customStyle="1" w:styleId="ListAlpha3">
    <w:name w:val="List Alpha 3"/>
    <w:basedOn w:val="Normal"/>
    <w:next w:val="BodyText3"/>
    <w:pPr>
      <w:numPr>
        <w:ilvl w:val="2"/>
        <w:numId w:val="4"/>
      </w:numPr>
      <w:tabs>
        <w:tab w:val="left" w:pos="68"/>
      </w:tabs>
      <w:spacing w:after="200" w:line="288" w:lineRule="auto"/>
      <w:jc w:val="both"/>
    </w:pPr>
    <w:rPr>
      <w:rFonts w:ascii="CG Times" w:eastAsia="Batang" w:hAnsi="CG Times"/>
      <w:sz w:val="22"/>
      <w:szCs w:val="20"/>
      <w:lang w:val="en-GB" w:eastAsia="ko-KR"/>
    </w:rPr>
  </w:style>
  <w:style w:type="paragraph" w:customStyle="1" w:styleId="ListArabic4">
    <w:name w:val="List Arabic 4"/>
    <w:basedOn w:val="Normal"/>
    <w:next w:val="Normal"/>
    <w:pPr>
      <w:numPr>
        <w:ilvl w:val="3"/>
        <w:numId w:val="2"/>
      </w:numPr>
      <w:tabs>
        <w:tab w:val="left" w:pos="86"/>
      </w:tabs>
      <w:spacing w:after="200" w:line="288" w:lineRule="auto"/>
      <w:jc w:val="both"/>
    </w:pPr>
    <w:rPr>
      <w:rFonts w:ascii="CG Times" w:eastAsia="Batang" w:hAnsi="CG Times"/>
      <w:sz w:val="22"/>
      <w:szCs w:val="20"/>
      <w:lang w:val="en-GB" w:eastAsia="ko-KR"/>
    </w:rPr>
  </w:style>
  <w:style w:type="paragraph" w:customStyle="1" w:styleId="ListLegal1">
    <w:name w:val="List Legal 1"/>
    <w:basedOn w:val="Normal"/>
    <w:next w:val="BodyText"/>
    <w:pPr>
      <w:tabs>
        <w:tab w:val="left" w:pos="22"/>
        <w:tab w:val="num" w:pos="624"/>
      </w:tabs>
      <w:spacing w:after="200" w:line="288" w:lineRule="auto"/>
      <w:ind w:left="624" w:hanging="624"/>
      <w:jc w:val="both"/>
    </w:pPr>
    <w:rPr>
      <w:rFonts w:ascii="CG Times" w:eastAsia="Batang" w:hAnsi="CG Times"/>
      <w:sz w:val="22"/>
      <w:szCs w:val="20"/>
      <w:lang w:val="en-GB" w:eastAsia="ko-KR"/>
    </w:rPr>
  </w:style>
  <w:style w:type="paragraph" w:customStyle="1" w:styleId="ListLegal2">
    <w:name w:val="List Legal 2"/>
    <w:basedOn w:val="Normal"/>
    <w:next w:val="BodyText"/>
    <w:pPr>
      <w:tabs>
        <w:tab w:val="left" w:pos="22"/>
        <w:tab w:val="num" w:pos="624"/>
      </w:tabs>
      <w:spacing w:after="200" w:line="288" w:lineRule="auto"/>
      <w:ind w:left="624" w:hanging="624"/>
      <w:jc w:val="both"/>
    </w:pPr>
    <w:rPr>
      <w:rFonts w:ascii="CG Times" w:eastAsia="Batang" w:hAnsi="CG Times"/>
      <w:sz w:val="22"/>
      <w:szCs w:val="20"/>
      <w:lang w:val="en-GB" w:eastAsia="ko-KR"/>
    </w:rPr>
  </w:style>
  <w:style w:type="paragraph" w:customStyle="1" w:styleId="ListLegal3">
    <w:name w:val="List Legal 3"/>
    <w:basedOn w:val="Normal"/>
    <w:next w:val="BodyText2"/>
    <w:pPr>
      <w:tabs>
        <w:tab w:val="left" w:pos="50"/>
        <w:tab w:val="num" w:pos="1417"/>
      </w:tabs>
      <w:spacing w:after="200" w:line="288" w:lineRule="auto"/>
      <w:ind w:left="1417" w:hanging="793"/>
      <w:jc w:val="both"/>
    </w:pPr>
    <w:rPr>
      <w:rFonts w:ascii="CG Times" w:eastAsia="Batang" w:hAnsi="CG Times"/>
      <w:sz w:val="22"/>
      <w:szCs w:val="20"/>
      <w:lang w:val="en-GB" w:eastAsia="ko-KR"/>
    </w:rPr>
  </w:style>
  <w:style w:type="paragraph" w:customStyle="1" w:styleId="ListRoman1">
    <w:name w:val="List Roman 1"/>
    <w:basedOn w:val="Normal"/>
    <w:next w:val="BodyText"/>
    <w:pPr>
      <w:numPr>
        <w:numId w:val="3"/>
      </w:numPr>
      <w:tabs>
        <w:tab w:val="left" w:pos="22"/>
      </w:tabs>
      <w:spacing w:after="200" w:line="288" w:lineRule="auto"/>
      <w:jc w:val="both"/>
    </w:pPr>
    <w:rPr>
      <w:rFonts w:ascii="CG Times" w:eastAsia="Batang" w:hAnsi="CG Times"/>
      <w:sz w:val="22"/>
      <w:szCs w:val="20"/>
      <w:lang w:val="en-GB" w:eastAsia="ko-KR"/>
    </w:rPr>
  </w:style>
  <w:style w:type="paragraph" w:customStyle="1" w:styleId="ListRoman2">
    <w:name w:val="List Roman 2"/>
    <w:basedOn w:val="Normal"/>
    <w:next w:val="BodyText2"/>
    <w:pPr>
      <w:numPr>
        <w:ilvl w:val="1"/>
        <w:numId w:val="3"/>
      </w:numPr>
      <w:tabs>
        <w:tab w:val="left" w:pos="50"/>
      </w:tabs>
      <w:spacing w:after="200" w:line="288" w:lineRule="auto"/>
      <w:jc w:val="both"/>
    </w:pPr>
    <w:rPr>
      <w:rFonts w:ascii="CG Times" w:eastAsia="Batang" w:hAnsi="CG Times"/>
      <w:sz w:val="22"/>
      <w:szCs w:val="20"/>
      <w:lang w:val="en-GB" w:eastAsia="ko-KR"/>
    </w:rPr>
  </w:style>
  <w:style w:type="paragraph" w:customStyle="1" w:styleId="ListRoman3">
    <w:name w:val="List Roman 3"/>
    <w:basedOn w:val="Normal"/>
    <w:next w:val="BodyText3"/>
    <w:pPr>
      <w:numPr>
        <w:ilvl w:val="2"/>
        <w:numId w:val="3"/>
      </w:numPr>
      <w:tabs>
        <w:tab w:val="left" w:pos="68"/>
      </w:tabs>
      <w:spacing w:after="200" w:line="288" w:lineRule="auto"/>
      <w:jc w:val="both"/>
    </w:pPr>
    <w:rPr>
      <w:rFonts w:ascii="CG Times" w:eastAsia="Batang" w:hAnsi="CG Times"/>
      <w:sz w:val="22"/>
      <w:szCs w:val="20"/>
      <w:lang w:val="en-GB" w:eastAsia="ko-KR"/>
    </w:rPr>
  </w:style>
  <w:style w:type="paragraph" w:styleId="BodyTextIndent3">
    <w:name w:val="Body Text Indent 3"/>
    <w:basedOn w:val="Normal"/>
    <w:semiHidden/>
    <w:pPr>
      <w:spacing w:before="240" w:after="120"/>
      <w:ind w:left="1440"/>
      <w:jc w:val="both"/>
    </w:pPr>
    <w:rPr>
      <w:sz w:val="22"/>
      <w:szCs w:val="22"/>
    </w:rPr>
  </w:style>
  <w:style w:type="character" w:styleId="PageNumber">
    <w:name w:val="page number"/>
    <w:basedOn w:val="DefaultParagraphFont"/>
    <w:semiHidden/>
  </w:style>
  <w:style w:type="paragraph" w:styleId="Footer">
    <w:name w:val="footer"/>
    <w:basedOn w:val="Normal"/>
    <w:semiHidden/>
    <w:rsid w:val="00F15D77"/>
    <w:pPr>
      <w:tabs>
        <w:tab w:val="center" w:pos="4320"/>
        <w:tab w:val="right" w:pos="8640"/>
      </w:tabs>
      <w:jc w:val="both"/>
    </w:pPr>
    <w:rPr>
      <w:rFonts w:ascii="Arial" w:eastAsia="SimSun" w:hAnsi="Arial"/>
      <w:sz w:val="18"/>
    </w:rPr>
  </w:style>
  <w:style w:type="paragraph" w:styleId="Title">
    <w:name w:val="Title"/>
    <w:basedOn w:val="Normal"/>
    <w:qFormat/>
    <w:pPr>
      <w:spacing w:before="960" w:after="960"/>
      <w:jc w:val="center"/>
    </w:pPr>
    <w:rPr>
      <w:b/>
      <w:sz w:val="22"/>
      <w:szCs w:val="22"/>
    </w:rPr>
  </w:style>
  <w:style w:type="paragraph" w:styleId="Subtitle">
    <w:name w:val="Subtitle"/>
    <w:basedOn w:val="Normal"/>
    <w:qFormat/>
    <w:pPr>
      <w:spacing w:before="960" w:after="1080"/>
      <w:jc w:val="center"/>
    </w:pPr>
    <w:rPr>
      <w:b/>
      <w:sz w:val="22"/>
      <w:szCs w:val="22"/>
    </w:rPr>
  </w:style>
  <w:style w:type="paragraph" w:styleId="Header">
    <w:name w:val="header"/>
    <w:basedOn w:val="Normal"/>
    <w:link w:val="HeaderChar"/>
    <w:uiPriority w:val="99"/>
    <w:pPr>
      <w:tabs>
        <w:tab w:val="center" w:pos="4320"/>
        <w:tab w:val="right" w:pos="8640"/>
      </w:tabs>
    </w:pPr>
  </w:style>
  <w:style w:type="paragraph" w:customStyle="1" w:styleId="Nelson">
    <w:name w:val="Nelson"/>
    <w:basedOn w:val="Normal"/>
    <w:pPr>
      <w:tabs>
        <w:tab w:val="left" w:pos="-600"/>
        <w:tab w:val="left" w:pos="1"/>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s>
      <w:ind w:right="802"/>
      <w:jc w:val="both"/>
    </w:pPr>
    <w:rPr>
      <w:rFonts w:eastAsia="Batang"/>
      <w:noProof/>
      <w:sz w:val="18"/>
      <w:szCs w:val="20"/>
      <w:lang w:val="en-GB" w:eastAsia="ko-KR"/>
      <w14:shadow w14:blurRad="50800" w14:dist="38100" w14:dir="2700000" w14:sx="100000" w14:sy="100000" w14:kx="0" w14:ky="0" w14:algn="tl">
        <w14:srgbClr w14:val="000000">
          <w14:alpha w14:val="60000"/>
        </w14:srgbClr>
      </w14:shadow>
    </w:rPr>
  </w:style>
  <w:style w:type="paragraph" w:styleId="BodyTextIndent">
    <w:name w:val="Body Text Indent"/>
    <w:basedOn w:val="Normal"/>
    <w:semiHidden/>
    <w:pPr>
      <w:spacing w:before="240" w:after="120"/>
      <w:ind w:left="1440" w:hanging="720"/>
      <w:jc w:val="both"/>
    </w:pPr>
    <w:rPr>
      <w:sz w:val="22"/>
      <w:szCs w:val="22"/>
      <w:lang w:eastAsia="zh-CN"/>
    </w:rPr>
  </w:style>
  <w:style w:type="paragraph" w:styleId="BodyTextIndent2">
    <w:name w:val="Body Text Indent 2"/>
    <w:basedOn w:val="Normal"/>
    <w:semiHidden/>
    <w:pPr>
      <w:spacing w:before="120" w:after="120"/>
      <w:ind w:left="720"/>
      <w:jc w:val="both"/>
    </w:pPr>
    <w:rPr>
      <w:sz w:val="22"/>
      <w:szCs w:val="22"/>
      <w:lang w:eastAsia="zh-CN"/>
    </w:rPr>
  </w:style>
  <w:style w:type="paragraph" w:styleId="FootnoteText">
    <w:name w:val="footnote text"/>
    <w:basedOn w:val="Normal"/>
    <w:semiHidden/>
    <w:rsid w:val="00CB77BF"/>
    <w:rPr>
      <w:sz w:val="22"/>
      <w:szCs w:val="20"/>
      <w:lang w:val="en-GB"/>
    </w:rPr>
  </w:style>
  <w:style w:type="character" w:styleId="FootnoteReference">
    <w:name w:val="footnote reference"/>
    <w:semiHidden/>
    <w:rPr>
      <w:vertAlign w:val="superscript"/>
    </w:rPr>
  </w:style>
  <w:style w:type="character" w:customStyle="1" w:styleId="DeltaViewInsertion">
    <w:name w:val="DeltaView Insertion"/>
    <w:rPr>
      <w:color w:val="0000FF"/>
      <w:spacing w:val="0"/>
      <w:u w:val="double"/>
    </w:rPr>
  </w:style>
  <w:style w:type="paragraph" w:styleId="BalloonText">
    <w:name w:val="Balloon Text"/>
    <w:basedOn w:val="Normal"/>
    <w:link w:val="BalloonTextChar"/>
    <w:uiPriority w:val="99"/>
    <w:semiHidden/>
    <w:unhideWhenUsed/>
    <w:rsid w:val="00CB3CB8"/>
    <w:rPr>
      <w:rFonts w:ascii="Tahoma" w:hAnsi="Tahoma" w:cs="Tahoma"/>
      <w:sz w:val="16"/>
      <w:szCs w:val="16"/>
    </w:rPr>
  </w:style>
  <w:style w:type="character" w:customStyle="1" w:styleId="BalloonTextChar">
    <w:name w:val="Balloon Text Char"/>
    <w:link w:val="BalloonText"/>
    <w:uiPriority w:val="99"/>
    <w:semiHidden/>
    <w:rsid w:val="00CB3CB8"/>
    <w:rPr>
      <w:rFonts w:ascii="Tahoma" w:hAnsi="Tahoma" w:cs="Tahoma"/>
      <w:sz w:val="16"/>
      <w:szCs w:val="16"/>
      <w:lang w:val="en-US" w:eastAsia="en-US"/>
    </w:rPr>
  </w:style>
  <w:style w:type="character" w:styleId="CommentReference">
    <w:name w:val="annotation reference"/>
    <w:uiPriority w:val="99"/>
    <w:semiHidden/>
    <w:unhideWhenUsed/>
    <w:rsid w:val="00AF79C9"/>
    <w:rPr>
      <w:sz w:val="16"/>
      <w:szCs w:val="16"/>
    </w:rPr>
  </w:style>
  <w:style w:type="paragraph" w:styleId="CommentText">
    <w:name w:val="annotation text"/>
    <w:basedOn w:val="Normal"/>
    <w:link w:val="CommentTextChar"/>
    <w:uiPriority w:val="99"/>
    <w:semiHidden/>
    <w:unhideWhenUsed/>
    <w:rsid w:val="006E125C"/>
    <w:rPr>
      <w:rFonts w:ascii="Arial" w:hAnsi="Arial"/>
      <w:sz w:val="20"/>
      <w:szCs w:val="20"/>
    </w:rPr>
  </w:style>
  <w:style w:type="character" w:customStyle="1" w:styleId="CommentTextChar">
    <w:name w:val="Comment Text Char"/>
    <w:link w:val="CommentText"/>
    <w:uiPriority w:val="99"/>
    <w:semiHidden/>
    <w:rsid w:val="006E125C"/>
    <w:rPr>
      <w:rFonts w:ascii="Arial" w:hAnsi="Arial"/>
      <w:lang w:val="en-US" w:eastAsia="en-US"/>
    </w:rPr>
  </w:style>
  <w:style w:type="paragraph" w:styleId="CommentSubject">
    <w:name w:val="annotation subject"/>
    <w:basedOn w:val="CommentText"/>
    <w:next w:val="CommentText"/>
    <w:link w:val="CommentSubjectChar"/>
    <w:uiPriority w:val="99"/>
    <w:semiHidden/>
    <w:unhideWhenUsed/>
    <w:rsid w:val="00AF79C9"/>
    <w:rPr>
      <w:b/>
      <w:bCs/>
    </w:rPr>
  </w:style>
  <w:style w:type="character" w:customStyle="1" w:styleId="CommentSubjectChar">
    <w:name w:val="Comment Subject Char"/>
    <w:link w:val="CommentSubject"/>
    <w:uiPriority w:val="99"/>
    <w:semiHidden/>
    <w:rsid w:val="00AF79C9"/>
    <w:rPr>
      <w:b/>
      <w:bCs/>
      <w:lang w:val="en-US" w:eastAsia="en-US"/>
    </w:rPr>
  </w:style>
  <w:style w:type="character" w:styleId="Hyperlink">
    <w:name w:val="Hyperlink"/>
    <w:uiPriority w:val="99"/>
    <w:unhideWhenUsed/>
    <w:rsid w:val="00626933"/>
    <w:rPr>
      <w:color w:val="0563C1"/>
      <w:u w:val="single"/>
    </w:rPr>
  </w:style>
  <w:style w:type="character" w:styleId="FollowedHyperlink">
    <w:name w:val="FollowedHyperlink"/>
    <w:uiPriority w:val="99"/>
    <w:semiHidden/>
    <w:unhideWhenUsed/>
    <w:rsid w:val="00626933"/>
    <w:rPr>
      <w:color w:val="954F72"/>
      <w:u w:val="single"/>
    </w:rPr>
  </w:style>
  <w:style w:type="character" w:customStyle="1" w:styleId="HeaderChar">
    <w:name w:val="Header Char"/>
    <w:basedOn w:val="DefaultParagraphFont"/>
    <w:link w:val="Header"/>
    <w:uiPriority w:val="99"/>
    <w:rsid w:val="00655860"/>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customXml" Target="../customXml/item3.xml"/></Relationships>
</file>

<file path=word/_rels/footnotes.xml.rels><?xml version="1.0" encoding="UTF-8" standalone="yes"?>
<Relationships xmlns="http://schemas.openxmlformats.org/package/2006/relationships"><Relationship Id="rId2" Type="http://schemas.openxmlformats.org/officeDocument/2006/relationships/hyperlink" Target="https://www.bursamalaysia.com/sites/5bb54be15f36ca0af339077a/assets/5cda9c4839fba22cb2f38ef1/SBLNTOpsGLALAB_Apr19.pdf" TargetMode="External"/><Relationship Id="rId1" Type="http://schemas.openxmlformats.org/officeDocument/2006/relationships/hyperlink" Target="https://www.bursamalaysia.com/trade/post_trade/securities_borrowing_lending/sbl_circulars"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33465B033060D44B1093206344B9FD7" ma:contentTypeVersion="16" ma:contentTypeDescription="Create a new document." ma:contentTypeScope="" ma:versionID="1d580d52059ba9d5f4bbbdaa6dcfa485">
  <xsd:schema xmlns:xsd="http://www.w3.org/2001/XMLSchema" xmlns:xs="http://www.w3.org/2001/XMLSchema" xmlns:p="http://schemas.microsoft.com/office/2006/metadata/properties" xmlns:ns2="c1be6e95-4228-4084-96ac-c73e61e9de30" xmlns:ns3="53446b27-e79f-4c1c-a1ce-c3078ea2b631" targetNamespace="http://schemas.microsoft.com/office/2006/metadata/properties" ma:root="true" ma:fieldsID="7c5ae28aa1724bcbd1c983e52835af28" ns2:_="" ns3:_="">
    <xsd:import namespace="c1be6e95-4228-4084-96ac-c73e61e9de30"/>
    <xsd:import namespace="53446b27-e79f-4c1c-a1ce-c3078ea2b631"/>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DateTaken"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1be6e95-4228-4084-96ac-c73e61e9de3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4342193b-1599-4434-b7af-91a0f1fddcd6"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3446b27-e79f-4c1c-a1ce-c3078ea2b631"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388d7e9e-f408-421c-9712-4af366f3660f}" ma:internalName="TaxCatchAll" ma:showField="CatchAllData" ma:web="53446b27-e79f-4c1c-a1ce-c3078ea2b63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c1be6e95-4228-4084-96ac-c73e61e9de30">
      <Terms xmlns="http://schemas.microsoft.com/office/infopath/2007/PartnerControls"/>
    </lcf76f155ced4ddcb4097134ff3c332f>
    <TaxCatchAll xmlns="53446b27-e79f-4c1c-a1ce-c3078ea2b631" xsi:nil="true"/>
  </documentManagement>
</p:properties>
</file>

<file path=customXml/itemProps1.xml><?xml version="1.0" encoding="utf-8"?>
<ds:datastoreItem xmlns:ds="http://schemas.openxmlformats.org/officeDocument/2006/customXml" ds:itemID="{95D39148-C5E4-4863-8A74-77CC2AD4562E}"/>
</file>

<file path=customXml/itemProps2.xml><?xml version="1.0" encoding="utf-8"?>
<ds:datastoreItem xmlns:ds="http://schemas.openxmlformats.org/officeDocument/2006/customXml" ds:itemID="{A3C471D3-A57E-4D35-928D-0C674ABD736B}"/>
</file>

<file path=customXml/itemProps3.xml><?xml version="1.0" encoding="utf-8"?>
<ds:datastoreItem xmlns:ds="http://schemas.openxmlformats.org/officeDocument/2006/customXml" ds:itemID="{96BDDD28-8F44-4058-BA44-CAE4B24D047A}"/>
</file>

<file path=docProps/app.xml><?xml version="1.0" encoding="utf-8"?>
<Properties xmlns="http://schemas.openxmlformats.org/officeDocument/2006/extended-properties" xmlns:vt="http://schemas.openxmlformats.org/officeDocument/2006/docPropsVTypes">
  <Template>Normal</Template>
  <TotalTime>2</TotalTime>
  <Pages>9</Pages>
  <Words>2049</Words>
  <Characters>10362</Characters>
  <Application>Microsoft Office Word</Application>
  <DocSecurity>0</DocSecurity>
  <Lines>86</Lines>
  <Paragraphs>24</Paragraphs>
  <ScaleCrop>false</ScaleCrop>
  <Company/>
  <LinksUpToDate>false</LinksUpToDate>
  <CharactersWithSpaces>12387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SOLWAY</dc:creator>
  <cp:lastModifiedBy>Claudia Cavallo</cp:lastModifiedBy>
  <cp:revision>1</cp:revision>
  <dcterms:created xsi:type="dcterms:W3CDTF">2022-01-07T16:33:00Z</dcterms:created>
  <dcterms:modified xsi:type="dcterms:W3CDTF">2023-07-18T10:48:00Z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0x010100C33465B033060D44B1093206344B9FD7</vt:lpwstr>
  </property>
</Properties>
</file>