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6215" w:rsidRPr="000906F0" w:rsidRDefault="00776556" w:rsidP="007B6215">
      <w:pPr>
        <w:pStyle w:val="BodyText"/>
        <w:jc w:val="center"/>
        <w:rPr>
          <w:rFonts w:ascii="MS Mincho" w:eastAsia="MS Mincho" w:hAnsi="MS Mincho"/>
          <w:b/>
        </w:rPr>
      </w:pPr>
      <w:r w:rsidRPr="000906F0">
        <w:rPr>
          <w:rFonts w:ascii="MS Mincho" w:eastAsia="MS Mincho" w:hAnsi="MS Mincho" w:hint="eastAsia"/>
          <w:b/>
        </w:rPr>
        <w:t>証券金融取引規制第</w:t>
      </w:r>
      <w:bookmarkStart w:id="0" w:name="_GoBack"/>
      <w:bookmarkEnd w:id="0"/>
      <w:r w:rsidRPr="000906F0">
        <w:rPr>
          <w:rFonts w:ascii="MS Mincho" w:eastAsia="MS Mincho" w:hAnsi="MS Mincho" w:hint="eastAsia"/>
          <w:b/>
        </w:rPr>
        <w:t>15条に則る情報開示書</w:t>
      </w:r>
    </w:p>
    <w:p w:rsidR="00363207" w:rsidRPr="000906F0" w:rsidRDefault="00546D84" w:rsidP="007B6215">
      <w:pPr>
        <w:pStyle w:val="BodyText"/>
        <w:jc w:val="center"/>
        <w:rPr>
          <w:rFonts w:ascii="MS Mincho" w:eastAsia="MS Mincho" w:hAnsi="MS Mincho"/>
          <w:b/>
          <w:highlight w:val="yellow"/>
        </w:rPr>
      </w:pPr>
      <w:r w:rsidRPr="00546D84">
        <w:rPr>
          <w:rFonts w:ascii="MS Mincho" w:eastAsia="MS Mincho" w:hAnsi="MS Mincho"/>
          <w:b/>
          <w:noProof/>
          <w:highlight w:val="yellow"/>
        </w:rPr>
        <w:pict>
          <v:shapetype id="_x0000_t202" coordsize="21600,21600" o:spt="202" path="m,l,21600r21600,l21600,xe">
            <v:stroke joinstyle="miter"/>
            <v:path gradientshapeok="t" o:connecttype="rect"/>
          </v:shapetype>
          <v:shape id="Text Box 2" o:spid="_x0000_s1026" type="#_x0000_t202" style="position:absolute;left:0;text-align:left;margin-left:-12.25pt;margin-top:11pt;width:472.75pt;height:340.45pt;z-index:251660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">
            <v:textbox style="mso-next-textbox:#Text Box 2">
              <w:txbxContent>
                <w:p w:rsidR="00363207" w:rsidRPr="000906F0" w:rsidRDefault="00363207" w:rsidP="00363207">
                  <w:pPr>
                    <w:rPr>
                      <w:rFonts w:ascii="MS Mincho" w:eastAsia="MS Mincho" w:hAnsi="MS Mincho" w:cs="Times New Roman"/>
                      <w:b/>
                      <w:bCs/>
                      <w:i/>
                      <w:iCs/>
                      <w:sz w:val="21"/>
                      <w:szCs w:val="20"/>
                      <w:u w:val="single"/>
                    </w:rPr>
                  </w:pPr>
                  <w:r w:rsidRPr="000906F0">
                    <w:rPr>
                      <w:rFonts w:ascii="MS Mincho" w:eastAsia="MS Mincho" w:hAnsi="MS Mincho" w:hint="eastAsia"/>
                      <w:b/>
                      <w:sz w:val="21"/>
                      <w:szCs w:val="20"/>
                    </w:rPr>
                    <w:t>本情報開示書は参考のみを目的として提供されており、取引、担保契約、該当する法律に基づき貴社が有する権利や義務を変更する、あるいはその代替となるものではなく、権利や義務を生じさせるものではなく、貴社の責務や義務に影響を及ぼすものではありません。</w:t>
                  </w:r>
                </w:p>
                <w:p w:rsidR="00363207" w:rsidRPr="000906F0" w:rsidRDefault="00363207" w:rsidP="00363207">
                  <w:pPr>
                    <w:rPr>
                      <w:rFonts w:ascii="MS Mincho" w:eastAsia="MS Mincho" w:hAnsi="MS Mincho" w:cs="Times New Roman"/>
                      <w:b/>
                      <w:sz w:val="21"/>
                      <w:szCs w:val="20"/>
                    </w:rPr>
                  </w:pPr>
                  <w:r w:rsidRPr="000906F0">
                    <w:rPr>
                      <w:rFonts w:ascii="MS Mincho" w:eastAsia="MS Mincho" w:hAnsi="MS Mincho" w:hint="eastAsia"/>
                      <w:b/>
                      <w:sz w:val="21"/>
                      <w:szCs w:val="20"/>
                    </w:rPr>
                    <w:t>付記1</w:t>
                  </w:r>
                  <w:r w:rsidR="001C2503">
                    <w:rPr>
                      <w:rFonts w:ascii="MS Mincho" w:eastAsia="MS Mincho" w:hAnsi="MS Mincho" w:hint="eastAsia"/>
                      <w:b/>
                      <w:sz w:val="21"/>
                      <w:szCs w:val="20"/>
                    </w:rPr>
                    <w:t>及び</w:t>
                  </w:r>
                  <w:r w:rsidRPr="000906F0">
                    <w:rPr>
                      <w:rFonts w:ascii="MS Mincho" w:eastAsia="MS Mincho" w:hAnsi="MS Mincho" w:hint="eastAsia"/>
                      <w:b/>
                      <w:sz w:val="21"/>
                      <w:szCs w:val="20"/>
                    </w:rPr>
                    <w:t>2のついた情報開示書は、International</w:t>
                  </w:r>
                  <w:r w:rsidRPr="000906F0">
                    <w:rPr>
                      <w:rFonts w:ascii="MS Mincho" w:eastAsia="MS Mincho" w:hAnsi="MS Mincho"/>
                      <w:b/>
                      <w:sz w:val="21"/>
                      <w:szCs w:val="20"/>
                    </w:rPr>
                    <w:t xml:space="preserve"> Swaps and Derivatives Association, </w:t>
                  </w:r>
                  <w:r w:rsidRPr="000906F0">
                    <w:rPr>
                      <w:rFonts w:ascii="MS Mincho" w:eastAsia="MS Mincho" w:hAnsi="MS Mincho" w:hint="eastAsia"/>
                      <w:b/>
                      <w:sz w:val="21"/>
                      <w:szCs w:val="20"/>
                    </w:rPr>
                    <w:t>Inc.、Association</w:t>
                  </w:r>
                  <w:r w:rsidRPr="000906F0">
                    <w:rPr>
                      <w:rFonts w:ascii="MS Mincho" w:eastAsia="MS Mincho" w:hAnsi="MS Mincho"/>
                      <w:b/>
                      <w:sz w:val="21"/>
                      <w:szCs w:val="20"/>
                    </w:rPr>
                    <w:t xml:space="preserve"> for Financial Markets in </w:t>
                  </w:r>
                  <w:r w:rsidRPr="000906F0">
                    <w:rPr>
                      <w:rFonts w:ascii="MS Mincho" w:eastAsia="MS Mincho" w:hAnsi="MS Mincho" w:hint="eastAsia"/>
                      <w:b/>
                      <w:sz w:val="21"/>
                      <w:szCs w:val="20"/>
                    </w:rPr>
                    <w:t>Europe、Futures</w:t>
                  </w:r>
                  <w:r w:rsidRPr="000906F0">
                    <w:rPr>
                      <w:rFonts w:ascii="MS Mincho" w:eastAsia="MS Mincho" w:hAnsi="MS Mincho"/>
                      <w:b/>
                      <w:sz w:val="21"/>
                      <w:szCs w:val="20"/>
                    </w:rPr>
                    <w:t xml:space="preserve"> Industry Association, </w:t>
                  </w:r>
                  <w:r w:rsidRPr="000906F0">
                    <w:rPr>
                      <w:rFonts w:ascii="MS Mincho" w:eastAsia="MS Mincho" w:hAnsi="MS Mincho" w:hint="eastAsia"/>
                      <w:b/>
                      <w:sz w:val="21"/>
                      <w:szCs w:val="20"/>
                    </w:rPr>
                    <w:t>Inc.、International</w:t>
                  </w:r>
                  <w:r w:rsidRPr="000906F0">
                    <w:rPr>
                      <w:rFonts w:ascii="MS Mincho" w:eastAsia="MS Mincho" w:hAnsi="MS Mincho"/>
                      <w:b/>
                      <w:sz w:val="21"/>
                      <w:szCs w:val="20"/>
                    </w:rPr>
                    <w:t xml:space="preserve"> Capital Market </w:t>
                  </w:r>
                  <w:r w:rsidRPr="000906F0">
                    <w:rPr>
                      <w:rFonts w:ascii="MS Mincho" w:eastAsia="MS Mincho" w:hAnsi="MS Mincho" w:hint="eastAsia"/>
                      <w:b/>
                      <w:sz w:val="21"/>
                      <w:szCs w:val="20"/>
                    </w:rPr>
                    <w:t>Association、International</w:t>
                  </w:r>
                  <w:r w:rsidRPr="000906F0">
                    <w:rPr>
                      <w:rFonts w:ascii="MS Mincho" w:eastAsia="MS Mincho" w:hAnsi="MS Mincho"/>
                      <w:b/>
                      <w:sz w:val="21"/>
                      <w:szCs w:val="20"/>
                    </w:rPr>
                    <w:t xml:space="preserve"> Securities Lending </w:t>
                  </w:r>
                  <w:r w:rsidRPr="000906F0">
                    <w:rPr>
                      <w:rFonts w:ascii="MS Mincho" w:eastAsia="MS Mincho" w:hAnsi="MS Mincho" w:hint="eastAsia"/>
                      <w:b/>
                      <w:sz w:val="21"/>
                      <w:szCs w:val="20"/>
                    </w:rPr>
                    <w:t>Associationが作成したものです。付記3は、International</w:t>
                  </w:r>
                  <w:r w:rsidRPr="000906F0">
                    <w:rPr>
                      <w:rFonts w:ascii="MS Mincho" w:eastAsia="MS Mincho" w:hAnsi="MS Mincho"/>
                      <w:b/>
                      <w:sz w:val="21"/>
                      <w:szCs w:val="20"/>
                    </w:rPr>
                    <w:t xml:space="preserve"> Swaps and Derivatives Association, </w:t>
                  </w:r>
                  <w:r w:rsidRPr="000906F0">
                    <w:rPr>
                      <w:rFonts w:ascii="MS Mincho" w:eastAsia="MS Mincho" w:hAnsi="MS Mincho" w:hint="eastAsia"/>
                      <w:b/>
                      <w:sz w:val="21"/>
                      <w:szCs w:val="20"/>
                    </w:rPr>
                    <w:t>Inc.、Association</w:t>
                  </w:r>
                  <w:r w:rsidRPr="000906F0">
                    <w:rPr>
                      <w:rFonts w:ascii="MS Mincho" w:eastAsia="MS Mincho" w:hAnsi="MS Mincho"/>
                      <w:b/>
                      <w:sz w:val="21"/>
                      <w:szCs w:val="20"/>
                    </w:rPr>
                    <w:t xml:space="preserve"> for Financial Markets in </w:t>
                  </w:r>
                  <w:r w:rsidRPr="000906F0">
                    <w:rPr>
                      <w:rFonts w:ascii="MS Mincho" w:eastAsia="MS Mincho" w:hAnsi="MS Mincho" w:hint="eastAsia"/>
                      <w:b/>
                      <w:sz w:val="21"/>
                      <w:szCs w:val="20"/>
                    </w:rPr>
                    <w:t>Europe、Futures</w:t>
                  </w:r>
                  <w:r w:rsidRPr="000906F0">
                    <w:rPr>
                      <w:rFonts w:ascii="MS Mincho" w:eastAsia="MS Mincho" w:hAnsi="MS Mincho"/>
                      <w:b/>
                      <w:sz w:val="21"/>
                      <w:szCs w:val="20"/>
                    </w:rPr>
                    <w:t xml:space="preserve"> Industry Association, </w:t>
                  </w:r>
                  <w:r w:rsidRPr="000906F0">
                    <w:rPr>
                      <w:rFonts w:ascii="MS Mincho" w:eastAsia="MS Mincho" w:hAnsi="MS Mincho" w:hint="eastAsia"/>
                      <w:b/>
                      <w:sz w:val="21"/>
                      <w:szCs w:val="20"/>
                    </w:rPr>
                    <w:t>Inc.</w:t>
                  </w:r>
                  <w:r w:rsidR="001C2503" w:rsidRPr="000906F0">
                    <w:rPr>
                      <w:rFonts w:ascii="MS Mincho" w:eastAsia="MS Mincho" w:hAnsi="MS Mincho" w:hint="eastAsia"/>
                      <w:b/>
                      <w:sz w:val="21"/>
                      <w:szCs w:val="20"/>
                    </w:rPr>
                    <w:t>及び</w:t>
                  </w:r>
                  <w:r w:rsidRPr="000906F0">
                    <w:rPr>
                      <w:rFonts w:ascii="MS Mincho" w:eastAsia="MS Mincho" w:hAnsi="MS Mincho" w:hint="eastAsia"/>
                      <w:b/>
                      <w:sz w:val="21"/>
                      <w:szCs w:val="20"/>
                    </w:rPr>
                    <w:t>SIFMAが作成したものです。</w:t>
                  </w:r>
                </w:p>
                <w:p w:rsidR="00363207" w:rsidRPr="000906F0" w:rsidRDefault="00363207" w:rsidP="00363207">
                  <w:pPr>
                    <w:rPr>
                      <w:rFonts w:ascii="MS Mincho" w:eastAsia="MS Mincho" w:hAnsi="MS Mincho" w:cs="Times New Roman"/>
                      <w:b/>
                      <w:sz w:val="21"/>
                      <w:szCs w:val="20"/>
                    </w:rPr>
                  </w:pPr>
                  <w:r w:rsidRPr="000906F0">
                    <w:rPr>
                      <w:rFonts w:ascii="MS Mincho" w:eastAsia="MS Mincho" w:hAnsi="MS Mincho" w:hint="eastAsia"/>
                      <w:b/>
                      <w:sz w:val="21"/>
                      <w:szCs w:val="20"/>
                    </w:rPr>
                    <w:t>情報開示書</w:t>
                  </w:r>
                  <w:r w:rsidR="001C2503" w:rsidRPr="000906F0">
                    <w:rPr>
                      <w:rFonts w:ascii="MS Mincho" w:eastAsia="MS Mincho" w:hAnsi="MS Mincho" w:hint="eastAsia"/>
                      <w:b/>
                      <w:sz w:val="21"/>
                      <w:szCs w:val="20"/>
                    </w:rPr>
                    <w:t>及び</w:t>
                  </w:r>
                  <w:r w:rsidRPr="000906F0">
                    <w:rPr>
                      <w:rFonts w:ascii="MS Mincho" w:eastAsia="MS Mincho" w:hAnsi="MS Mincho" w:hint="eastAsia"/>
                      <w:b/>
                      <w:sz w:val="21"/>
                      <w:szCs w:val="20"/>
                    </w:rPr>
                    <w:t>そのすべての付記は英語で草稿が作成されています。上記の業界団体の会員企業はこれを使用し、業界団体のロゴの削除を含め、変更することができます（ただし、以下の著作権通知を変更せず、会員企業が顧客に送付するバージョンに著作権通知を含めることを条件とします）。</w:t>
                  </w:r>
                </w:p>
                <w:p w:rsidR="00363207" w:rsidRPr="000906F0" w:rsidRDefault="00363207" w:rsidP="00363207">
                  <w:pPr>
                    <w:rPr>
                      <w:rFonts w:ascii="MS Mincho" w:eastAsia="MS Mincho" w:hAnsi="MS Mincho" w:cs="Times New Roman"/>
                      <w:b/>
                      <w:sz w:val="20"/>
                      <w:szCs w:val="20"/>
                    </w:rPr>
                  </w:pPr>
                  <w:r w:rsidRPr="000906F0">
                    <w:rPr>
                      <w:rFonts w:ascii="MS Mincho" w:eastAsia="MS Mincho" w:hAnsi="MS Mincho" w:hint="eastAsia"/>
                      <w:b/>
                      <w:sz w:val="21"/>
                      <w:szCs w:val="20"/>
                    </w:rPr>
                    <w:t>情報開示書</w:t>
                  </w:r>
                  <w:r w:rsidR="001C2503" w:rsidRPr="000906F0">
                    <w:rPr>
                      <w:rFonts w:ascii="MS Mincho" w:eastAsia="MS Mincho" w:hAnsi="MS Mincho" w:hint="eastAsia"/>
                      <w:b/>
                      <w:sz w:val="21"/>
                      <w:szCs w:val="20"/>
                    </w:rPr>
                    <w:t>及び</w:t>
                  </w:r>
                  <w:r w:rsidRPr="000906F0">
                    <w:rPr>
                      <w:rFonts w:ascii="MS Mincho" w:eastAsia="MS Mincho" w:hAnsi="MS Mincho" w:hint="eastAsia"/>
                      <w:b/>
                      <w:sz w:val="21"/>
                      <w:szCs w:val="20"/>
                    </w:rPr>
                    <w:t>付記を他の言語に翻訳する場合</w:t>
                  </w:r>
                  <w:r w:rsidR="00B71A69" w:rsidRPr="000906F0">
                    <w:rPr>
                      <w:rFonts w:ascii="MS Mincho" w:eastAsia="MS Mincho" w:hAnsi="MS Mincho"/>
                      <w:b/>
                      <w:sz w:val="21"/>
                      <w:szCs w:val="20"/>
                    </w:rPr>
                    <w:t>、</w:t>
                  </w:r>
                  <w:r w:rsidR="001C2503" w:rsidRPr="000906F0">
                    <w:rPr>
                      <w:rFonts w:ascii="MS Mincho" w:eastAsia="MS Mincho" w:hAnsi="MS Mincho" w:hint="eastAsia"/>
                      <w:b/>
                      <w:sz w:val="21"/>
                      <w:szCs w:val="20"/>
                    </w:rPr>
                    <w:t>及び</w:t>
                  </w:r>
                  <w:r w:rsidRPr="000906F0">
                    <w:rPr>
                      <w:rFonts w:ascii="MS Mincho" w:eastAsia="MS Mincho" w:hAnsi="MS Mincho" w:hint="eastAsia"/>
                      <w:b/>
                      <w:sz w:val="21"/>
                      <w:szCs w:val="20"/>
                    </w:rPr>
                    <w:t>英語版と翻訳版に矛盾がある場合は</w:t>
                  </w:r>
                  <w:r w:rsidR="00B71A69" w:rsidRPr="000906F0">
                    <w:rPr>
                      <w:rFonts w:ascii="MS Mincho" w:eastAsia="MS Mincho" w:hAnsi="MS Mincho"/>
                      <w:b/>
                      <w:sz w:val="21"/>
                      <w:szCs w:val="20"/>
                    </w:rPr>
                    <w:t>、</w:t>
                  </w:r>
                  <w:r w:rsidRPr="000906F0">
                    <w:rPr>
                      <w:rFonts w:ascii="MS Mincho" w:eastAsia="MS Mincho" w:hAnsi="MS Mincho" w:hint="eastAsia"/>
                      <w:b/>
                      <w:sz w:val="21"/>
                      <w:szCs w:val="20"/>
                    </w:rPr>
                    <w:t>いずれの場合も英語版が優先され、International</w:t>
                  </w:r>
                  <w:r w:rsidRPr="000906F0">
                    <w:rPr>
                      <w:rFonts w:ascii="MS Mincho" w:eastAsia="MS Mincho" w:hAnsi="MS Mincho"/>
                      <w:b/>
                      <w:sz w:val="21"/>
                      <w:szCs w:val="20"/>
                    </w:rPr>
                    <w:t xml:space="preserve"> Swaps and Derivatives Association, </w:t>
                  </w:r>
                  <w:r w:rsidRPr="000906F0">
                    <w:rPr>
                      <w:rFonts w:ascii="MS Mincho" w:eastAsia="MS Mincho" w:hAnsi="MS Mincho" w:hint="eastAsia"/>
                      <w:b/>
                      <w:sz w:val="21"/>
                      <w:szCs w:val="20"/>
                    </w:rPr>
                    <w:t>Inc.、Association</w:t>
                  </w:r>
                  <w:r w:rsidRPr="000906F0">
                    <w:rPr>
                      <w:rFonts w:ascii="MS Mincho" w:eastAsia="MS Mincho" w:hAnsi="MS Mincho"/>
                      <w:b/>
                      <w:sz w:val="21"/>
                      <w:szCs w:val="20"/>
                    </w:rPr>
                    <w:t xml:space="preserve"> for Financial Markets in </w:t>
                  </w:r>
                  <w:r w:rsidRPr="000906F0">
                    <w:rPr>
                      <w:rFonts w:ascii="MS Mincho" w:eastAsia="MS Mincho" w:hAnsi="MS Mincho" w:hint="eastAsia"/>
                      <w:b/>
                      <w:sz w:val="21"/>
                      <w:szCs w:val="20"/>
                    </w:rPr>
                    <w:t>Europe、Futures</w:t>
                  </w:r>
                  <w:r w:rsidRPr="000906F0">
                    <w:rPr>
                      <w:rFonts w:ascii="MS Mincho" w:eastAsia="MS Mincho" w:hAnsi="MS Mincho"/>
                      <w:b/>
                      <w:sz w:val="21"/>
                      <w:szCs w:val="20"/>
                    </w:rPr>
                    <w:t xml:space="preserve"> Industry Association, </w:t>
                  </w:r>
                  <w:r w:rsidRPr="000906F0">
                    <w:rPr>
                      <w:rFonts w:ascii="MS Mincho" w:eastAsia="MS Mincho" w:hAnsi="MS Mincho" w:hint="eastAsia"/>
                      <w:b/>
                      <w:sz w:val="21"/>
                      <w:szCs w:val="20"/>
                    </w:rPr>
                    <w:t>Inc.、International</w:t>
                  </w:r>
                  <w:r w:rsidRPr="000906F0">
                    <w:rPr>
                      <w:rFonts w:ascii="MS Mincho" w:eastAsia="MS Mincho" w:hAnsi="MS Mincho"/>
                      <w:b/>
                      <w:sz w:val="21"/>
                      <w:szCs w:val="20"/>
                    </w:rPr>
                    <w:t xml:space="preserve"> Capital Market </w:t>
                  </w:r>
                  <w:r w:rsidRPr="000906F0">
                    <w:rPr>
                      <w:rFonts w:ascii="MS Mincho" w:eastAsia="MS Mincho" w:hAnsi="MS Mincho" w:hint="eastAsia"/>
                      <w:b/>
                      <w:sz w:val="21"/>
                      <w:szCs w:val="20"/>
                    </w:rPr>
                    <w:t>Association、International</w:t>
                  </w:r>
                  <w:r w:rsidRPr="000906F0">
                    <w:rPr>
                      <w:rFonts w:ascii="MS Mincho" w:eastAsia="MS Mincho" w:hAnsi="MS Mincho"/>
                      <w:b/>
                      <w:sz w:val="21"/>
                      <w:szCs w:val="20"/>
                    </w:rPr>
                    <w:t xml:space="preserve"> Securities Lending </w:t>
                  </w:r>
                  <w:r w:rsidRPr="000906F0">
                    <w:rPr>
                      <w:rFonts w:ascii="MS Mincho" w:eastAsia="MS Mincho" w:hAnsi="MS Mincho" w:hint="eastAsia"/>
                      <w:b/>
                      <w:sz w:val="21"/>
                      <w:szCs w:val="20"/>
                    </w:rPr>
                    <w:t>Association</w:t>
                  </w:r>
                  <w:r w:rsidR="001C2503" w:rsidRPr="000906F0">
                    <w:rPr>
                      <w:rFonts w:ascii="MS Mincho" w:eastAsia="MS Mincho" w:hAnsi="MS Mincho" w:hint="eastAsia"/>
                      <w:b/>
                      <w:sz w:val="21"/>
                      <w:szCs w:val="20"/>
                    </w:rPr>
                    <w:t>及び</w:t>
                  </w:r>
                  <w:r w:rsidRPr="000906F0">
                    <w:rPr>
                      <w:rFonts w:ascii="MS Mincho" w:eastAsia="MS Mincho" w:hAnsi="MS Mincho" w:hint="eastAsia"/>
                      <w:b/>
                      <w:sz w:val="21"/>
                      <w:szCs w:val="20"/>
                    </w:rPr>
                    <w:t>SIFMAは、いかなる翻訳に対しても一切責任を負いません。</w:t>
                  </w:r>
                  <w:r w:rsidRPr="000906F0">
                    <w:rPr>
                      <w:rFonts w:ascii="MS Mincho" w:eastAsia="MS Mincho" w:hAnsi="MS Mincho"/>
                      <w:b/>
                      <w:sz w:val="20"/>
                      <w:szCs w:val="20"/>
                    </w:rPr>
                    <w:t xml:space="preserve"> </w:t>
                  </w:r>
                </w:p>
              </w:txbxContent>
            </v:textbox>
          </v:shape>
        </w:pict>
      </w: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rsidP="007B6215">
      <w:pPr>
        <w:pStyle w:val="BodyText"/>
        <w:jc w:val="center"/>
        <w:rPr>
          <w:rFonts w:ascii="MS Mincho" w:eastAsia="MS Mincho" w:hAnsi="MS Mincho"/>
          <w:b/>
          <w:highlight w:val="yellow"/>
        </w:rPr>
      </w:pPr>
    </w:p>
    <w:p w:rsidR="00363207" w:rsidRPr="000906F0" w:rsidRDefault="00363207">
      <w:pPr>
        <w:spacing w:after="0" w:line="240" w:lineRule="auto"/>
        <w:jc w:val="left"/>
        <w:rPr>
          <w:rFonts w:ascii="MS Mincho" w:eastAsia="MS Mincho" w:hAnsi="MS Mincho"/>
          <w:b/>
          <w:highlight w:val="yellow"/>
        </w:rPr>
      </w:pPr>
      <w:r w:rsidRPr="000906F0">
        <w:rPr>
          <w:rFonts w:ascii="MS Mincho" w:eastAsia="MS Mincho" w:hAnsi="MS Mincho"/>
          <w:highlight w:val="yellow"/>
        </w:rPr>
        <w:br w:type="page"/>
      </w:r>
    </w:p>
    <w:p w:rsidR="00363207" w:rsidRPr="000906F0" w:rsidRDefault="00363207" w:rsidP="007B6215">
      <w:pPr>
        <w:pStyle w:val="BodyText"/>
        <w:jc w:val="center"/>
        <w:rPr>
          <w:rFonts w:ascii="MS Mincho" w:eastAsia="MS Mincho" w:hAnsi="MS Mincho"/>
          <w:b/>
        </w:rPr>
      </w:pPr>
    </w:p>
    <w:p w:rsidR="0030567B" w:rsidRPr="000906F0" w:rsidRDefault="0030567B" w:rsidP="0030567B">
      <w:pPr>
        <w:pStyle w:val="BodyText"/>
        <w:numPr>
          <w:ilvl w:val="0"/>
          <w:numId w:val="13"/>
        </w:numPr>
        <w:rPr>
          <w:rFonts w:ascii="MS Mincho" w:eastAsia="MS Mincho" w:hAnsi="MS Mincho"/>
          <w:b/>
        </w:rPr>
      </w:pPr>
      <w:r w:rsidRPr="000906F0">
        <w:rPr>
          <w:rFonts w:ascii="MS Mincho" w:eastAsia="MS Mincho" w:hAnsi="MS Mincho" w:hint="eastAsia"/>
          <w:b/>
        </w:rPr>
        <w:t>はじめに</w:t>
      </w:r>
    </w:p>
    <w:p w:rsidR="007C4EDA" w:rsidRPr="000906F0" w:rsidRDefault="007C4EDA" w:rsidP="00293343">
      <w:pPr>
        <w:pStyle w:val="BodyText"/>
        <w:rPr>
          <w:rFonts w:ascii="MS Mincho" w:eastAsia="MS Mincho" w:hAnsi="MS Mincho"/>
        </w:rPr>
      </w:pPr>
      <w:r w:rsidRPr="000906F0">
        <w:rPr>
          <w:rFonts w:ascii="MS Mincho" w:eastAsia="MS Mincho" w:hAnsi="MS Mincho" w:hint="eastAsia"/>
        </w:rPr>
        <w:t>貴社は、1件またはそれ以上の譲渡担保取引または使用権を含む証券担保取引（以下総称して「</w:t>
      </w:r>
      <w:r w:rsidRPr="000906F0">
        <w:rPr>
          <w:rFonts w:ascii="MS Mincho" w:eastAsia="MS Mincho" w:hAnsi="MS Mincho" w:hint="eastAsia"/>
          <w:b/>
        </w:rPr>
        <w:t>担保取引</w:t>
      </w:r>
      <w:r w:rsidRPr="000906F0">
        <w:rPr>
          <w:rFonts w:ascii="MS Mincho" w:eastAsia="MS Mincho" w:hAnsi="MS Mincho" w:hint="eastAsia"/>
        </w:rPr>
        <w:t xml:space="preserve">」）を当社と行っている（またはこれ以後行う可能性がある）ために、本情報開示書を受け取りました。 </w:t>
      </w:r>
    </w:p>
    <w:p w:rsidR="00673CCD" w:rsidRPr="000906F0" w:rsidRDefault="008133C3" w:rsidP="00293343">
      <w:pPr>
        <w:pStyle w:val="BodyText"/>
        <w:rPr>
          <w:rFonts w:ascii="MS Mincho" w:eastAsia="MS Mincho" w:hAnsi="MS Mincho"/>
        </w:rPr>
      </w:pPr>
      <w:r w:rsidRPr="000906F0">
        <w:rPr>
          <w:rFonts w:ascii="MS Mincho" w:eastAsia="MS Mincho" w:hAnsi="MS Mincho" w:hint="eastAsia"/>
        </w:rPr>
        <w:t>本情報開示書は、証券担保契約に基づいて提供される担保の使用権への同意や、担保譲渡契約の締結に伴う可能性がある一般的なリスクや結果（以下「</w:t>
      </w:r>
      <w:r w:rsidRPr="000906F0">
        <w:rPr>
          <w:rFonts w:ascii="MS Mincho" w:eastAsia="MS Mincho" w:hAnsi="MS Mincho" w:hint="eastAsia"/>
          <w:b/>
        </w:rPr>
        <w:t>再使用リスクおよび結果</w:t>
      </w:r>
      <w:r w:rsidRPr="000906F0">
        <w:rPr>
          <w:rFonts w:ascii="MS Mincho" w:eastAsia="MS Mincho" w:hAnsi="MS Mincho" w:hint="eastAsia"/>
        </w:rPr>
        <w:t>」）について通知することにより、証券金融取引規制第15条を遵守するために作成されました。証券金融取引規制第15条に則って貴社に提供する必要がある情報は、再使用リスク</w:t>
      </w:r>
      <w:r w:rsidR="0068064A" w:rsidRPr="0068064A">
        <w:rPr>
          <w:rFonts w:ascii="MS Mincho" w:eastAsia="MS Mincho" w:hAnsi="MS Mincho" w:hint="eastAsia"/>
        </w:rPr>
        <w:t>及</w:t>
      </w:r>
      <w:r w:rsidRPr="000906F0">
        <w:rPr>
          <w:rFonts w:ascii="MS Mincho" w:eastAsia="MS Mincho" w:hAnsi="MS Mincho" w:hint="eastAsia"/>
        </w:rPr>
        <w:t>び結果についての情報のみであるため、本情報開示書では貴社の特定の状況や特定の取引条件に起因して生じる可能性があるその他のリスクや結果について記載していません</w:t>
      </w:r>
      <w:r w:rsidRPr="000906F0">
        <w:rPr>
          <w:rStyle w:val="FootnoteReference"/>
          <w:rFonts w:ascii="MS Mincho" w:eastAsia="MS Mincho" w:hAnsi="MS Mincho"/>
        </w:rPr>
        <w:footnoteReference w:id="1"/>
      </w:r>
      <w:r w:rsidR="00386915" w:rsidRPr="000906F0">
        <w:rPr>
          <w:rFonts w:ascii="MS Mincho" w:eastAsia="MS Mincho" w:hAnsi="MS Mincho"/>
        </w:rPr>
        <w:t>。</w:t>
      </w:r>
    </w:p>
    <w:p w:rsidR="00673CCD" w:rsidRPr="000906F0" w:rsidRDefault="0030567B" w:rsidP="00293343">
      <w:pPr>
        <w:pStyle w:val="BodyText"/>
        <w:rPr>
          <w:rFonts w:ascii="MS Mincho" w:eastAsia="MS Mincho" w:hAnsi="MS Mincho"/>
        </w:rPr>
      </w:pPr>
      <w:r w:rsidRPr="000906F0">
        <w:rPr>
          <w:rFonts w:ascii="MS Mincho" w:eastAsia="MS Mincho" w:hAnsi="MS Mincho" w:hint="eastAsia"/>
        </w:rPr>
        <w:t>この情報開示書は法務、財務、税務、会計、その他のアドバイスを意図しているものではないため、この情報開示書に依拠すべきではありません。書面による明示的な同意がない限り、当社は貴社にしかる法務、財務、税務、会計、その他のアドバイスを提供しません。貴社の事業に対する影響</w:t>
      </w:r>
      <w:r w:rsidR="001C2503" w:rsidRPr="000906F0">
        <w:rPr>
          <w:rFonts w:ascii="MS Mincho" w:eastAsia="MS Mincho" w:hAnsi="MS Mincho" w:hint="eastAsia"/>
        </w:rPr>
        <w:t>及び</w:t>
      </w:r>
      <w:r w:rsidRPr="000906F0">
        <w:rPr>
          <w:rFonts w:ascii="MS Mincho" w:eastAsia="MS Mincho" w:hAnsi="MS Mincho" w:hint="eastAsia"/>
        </w:rPr>
        <w:t xml:space="preserve">取引の締結要件や取引を締結する結果を含め、証券担保契約で規定されている担保使用権に対する同意、また、譲渡担保契約の締結についてのアドバイスについては、貴社自身の顧問にご相談ください。 </w:t>
      </w:r>
    </w:p>
    <w:p w:rsidR="00F07E7D" w:rsidRPr="000906F0" w:rsidRDefault="00F07E7D" w:rsidP="00293343">
      <w:pPr>
        <w:pStyle w:val="BodyText"/>
        <w:rPr>
          <w:rFonts w:ascii="MS Mincho" w:eastAsia="MS Mincho" w:hAnsi="MS Mincho"/>
        </w:rPr>
      </w:pPr>
      <w:r w:rsidRPr="000906F0">
        <w:rPr>
          <w:rFonts w:ascii="MS Mincho" w:eastAsia="MS Mincho" w:hAnsi="MS Mincho" w:hint="eastAsia"/>
        </w:rPr>
        <w:t xml:space="preserve">付記2には、担保契約を構成する可能性がある契約のタイプの参考リスト（すべてを網羅しているわけではありません）が記載されています。 </w:t>
      </w:r>
    </w:p>
    <w:p w:rsidR="0074015E" w:rsidRPr="000906F0" w:rsidRDefault="0074015E" w:rsidP="00293343">
      <w:pPr>
        <w:pStyle w:val="BodyText"/>
        <w:rPr>
          <w:rFonts w:ascii="MS Mincho" w:eastAsia="MS Mincho" w:hAnsi="MS Mincho"/>
        </w:rPr>
      </w:pPr>
      <w:r w:rsidRPr="000906F0">
        <w:rPr>
          <w:rFonts w:ascii="MS Mincho" w:eastAsia="MS Mincho" w:hAnsi="MS Mincho" w:hint="eastAsia"/>
        </w:rPr>
        <w:t>付記3には、当社が</w:t>
      </w:r>
      <w:r w:rsidRPr="000906F0">
        <w:rPr>
          <w:rFonts w:ascii="MS Mincho" w:eastAsia="MS Mincho" w:hAnsi="MS Mincho"/>
        </w:rPr>
        <w:t xml:space="preserve"> (1) </w:t>
      </w:r>
      <w:r w:rsidRPr="000906F0">
        <w:rPr>
          <w:rFonts w:ascii="MS Mincho" w:eastAsia="MS Mincho" w:hAnsi="MS Mincho" w:hint="eastAsia"/>
        </w:rPr>
        <w:t>米国のブローカー・ディーラーまたは先物取次業者である場合、または</w:t>
      </w:r>
      <w:r w:rsidRPr="000906F0">
        <w:rPr>
          <w:rFonts w:ascii="MS Mincho" w:eastAsia="MS Mincho" w:hAnsi="MS Mincho"/>
        </w:rPr>
        <w:t xml:space="preserve"> (2) </w:t>
      </w:r>
      <w:r w:rsidRPr="000906F0">
        <w:rPr>
          <w:rFonts w:ascii="MS Mincho" w:eastAsia="MS Mincho" w:hAnsi="MS Mincho" w:hint="eastAsia"/>
        </w:rPr>
        <w:t>米国の銀行または米国外の銀行の米国支店または代理店である場合に適用される代替開示事項が記載されています。</w:t>
      </w:r>
    </w:p>
    <w:p w:rsidR="00E14778" w:rsidRPr="000906F0" w:rsidRDefault="00E14778" w:rsidP="00293343">
      <w:pPr>
        <w:pStyle w:val="BodyText"/>
        <w:rPr>
          <w:rFonts w:ascii="MS Mincho" w:eastAsia="MS Mincho" w:hAnsi="MS Mincho"/>
        </w:rPr>
      </w:pPr>
      <w:r w:rsidRPr="000906F0">
        <w:rPr>
          <w:rFonts w:ascii="MS Mincho" w:eastAsia="MS Mincho" w:hAnsi="MS Mincho" w:hint="eastAsia"/>
        </w:rPr>
        <w:t>この情報開示書</w:t>
      </w:r>
      <w:r w:rsidRPr="000906F0">
        <w:rPr>
          <w:rStyle w:val="FootnoteReference"/>
          <w:rFonts w:ascii="MS Mincho" w:eastAsia="MS Mincho" w:hAnsi="MS Mincho"/>
        </w:rPr>
        <w:footnoteReference w:id="2"/>
      </w:r>
      <w:r w:rsidR="00386915" w:rsidRPr="000906F0">
        <w:rPr>
          <w:rFonts w:ascii="MS Mincho" w:eastAsia="MS Mincho" w:hAnsi="MS Mincho"/>
        </w:rPr>
        <w:t>では、</w:t>
      </w:r>
      <w:r w:rsidRPr="000906F0">
        <w:rPr>
          <w:rFonts w:ascii="MS Mincho" w:eastAsia="MS Mincho" w:hAnsi="MS Mincho"/>
        </w:rPr>
        <w:t xml:space="preserve"> </w:t>
      </w:r>
    </w:p>
    <w:p w:rsidR="00E14778" w:rsidRPr="000906F0" w:rsidRDefault="00E14778" w:rsidP="00E14778">
      <w:pPr>
        <w:pStyle w:val="BodyText"/>
        <w:numPr>
          <w:ilvl w:val="0"/>
          <w:numId w:val="14"/>
        </w:numPr>
        <w:rPr>
          <w:rFonts w:ascii="MS Mincho" w:eastAsia="MS Mincho" w:hAnsi="MS Mincho"/>
        </w:rPr>
      </w:pPr>
      <w:r w:rsidRPr="000906F0">
        <w:rPr>
          <w:rFonts w:ascii="MS Mincho" w:eastAsia="MS Mincho" w:hAnsi="MS Mincho" w:hint="eastAsia"/>
        </w:rPr>
        <w:lastRenderedPageBreak/>
        <w:t xml:space="preserve">「当社」とは、貴社と取引を行う可能性のある本情報開示書の提供者（または、当社が関連会社を含めた他者の代理人として行動している場合は、その者）を意味します。 </w:t>
      </w:r>
    </w:p>
    <w:p w:rsidR="00E14778" w:rsidRPr="000906F0" w:rsidRDefault="00E14778" w:rsidP="00E14778">
      <w:pPr>
        <w:pStyle w:val="BodyText"/>
        <w:numPr>
          <w:ilvl w:val="0"/>
          <w:numId w:val="14"/>
        </w:numPr>
        <w:rPr>
          <w:rFonts w:ascii="MS Mincho" w:eastAsia="MS Mincho" w:hAnsi="MS Mincho"/>
        </w:rPr>
      </w:pPr>
      <w:r w:rsidRPr="000906F0">
        <w:rPr>
          <w:rFonts w:ascii="MS Mincho" w:eastAsia="MS Mincho" w:hAnsi="MS Mincho" w:hint="eastAsia"/>
        </w:rPr>
        <w:t xml:space="preserve">「貴社」とは、当社との取引の締結、継続、執行、または同意に関連して、本情報開示書の提供先または宛先とされる各人（または、貴社が他者の代理人として行動している場合は、これらの各人）を意味します。 </w:t>
      </w:r>
    </w:p>
    <w:p w:rsidR="00433B46" w:rsidRPr="000906F0" w:rsidRDefault="00433B46" w:rsidP="00433B46">
      <w:pPr>
        <w:pStyle w:val="BodyText"/>
        <w:numPr>
          <w:ilvl w:val="0"/>
          <w:numId w:val="14"/>
        </w:numPr>
        <w:rPr>
          <w:rFonts w:ascii="MS Mincho" w:eastAsia="MS Mincho" w:hAnsi="MS Mincho"/>
        </w:rPr>
      </w:pPr>
      <w:r w:rsidRPr="000906F0">
        <w:rPr>
          <w:rFonts w:ascii="MS Mincho" w:eastAsia="MS Mincho" w:hAnsi="MS Mincho" w:hint="eastAsia"/>
        </w:rPr>
        <w:t xml:space="preserve">「使用権」とは、貴社と当社の間の証券担保契約に基づく担保として当社が受け取る金融商品を、当社が当社の名義で、当社のアカウントで、または別のカウンターパーティのアカウントで使用する権利を意味します。 </w:t>
      </w:r>
    </w:p>
    <w:p w:rsidR="00433B46" w:rsidRPr="000906F0" w:rsidRDefault="00433B46" w:rsidP="00433B46">
      <w:pPr>
        <w:pStyle w:val="BodyText"/>
        <w:numPr>
          <w:ilvl w:val="0"/>
          <w:numId w:val="14"/>
        </w:numPr>
        <w:rPr>
          <w:rFonts w:ascii="MS Mincho" w:eastAsia="MS Mincho" w:hAnsi="MS Mincho"/>
        </w:rPr>
      </w:pPr>
      <w:r w:rsidRPr="000906F0">
        <w:rPr>
          <w:rFonts w:ascii="MS Mincho" w:eastAsia="MS Mincho" w:hAnsi="MS Mincho" w:hint="eastAsia"/>
        </w:rPr>
        <w:t>「証券金融取引規制」とは、証券金融取引</w:t>
      </w:r>
      <w:r w:rsidR="001C2503" w:rsidRPr="000906F0">
        <w:rPr>
          <w:rFonts w:ascii="MS Mincho" w:eastAsia="MS Mincho" w:hAnsi="MS Mincho" w:hint="eastAsia"/>
        </w:rPr>
        <w:t>及び</w:t>
      </w:r>
      <w:r w:rsidRPr="000906F0">
        <w:rPr>
          <w:rFonts w:ascii="MS Mincho" w:eastAsia="MS Mincho" w:hAnsi="MS Mincho" w:hint="eastAsia"/>
        </w:rPr>
        <w:t>再使用の透明性に関する欧州議会</w:t>
      </w:r>
      <w:r w:rsidR="001C2503" w:rsidRPr="000906F0">
        <w:rPr>
          <w:rFonts w:ascii="MS Mincho" w:eastAsia="MS Mincho" w:hAnsi="MS Mincho" w:hint="eastAsia"/>
        </w:rPr>
        <w:t>及び</w:t>
      </w:r>
      <w:r w:rsidRPr="000906F0">
        <w:rPr>
          <w:rFonts w:ascii="MS Mincho" w:eastAsia="MS Mincho" w:hAnsi="MS Mincho" w:hint="eastAsia"/>
        </w:rPr>
        <w:t>理事会の2015年11月25日付の規則 (EU) 2015/2365</w:t>
      </w:r>
      <w:r w:rsidR="001C2503" w:rsidRPr="000906F0">
        <w:rPr>
          <w:rFonts w:ascii="MS Mincho" w:eastAsia="MS Mincho" w:hAnsi="MS Mincho" w:hint="eastAsia"/>
        </w:rPr>
        <w:t>及び</w:t>
      </w:r>
      <w:r w:rsidRPr="000906F0">
        <w:rPr>
          <w:rFonts w:ascii="MS Mincho" w:eastAsia="MS Mincho" w:hAnsi="MS Mincho" w:hint="eastAsia"/>
        </w:rPr>
        <w:t xml:space="preserve">修正規則 (EU) 648/2012（随時変更される場合があります）を意味します。  </w:t>
      </w:r>
    </w:p>
    <w:p w:rsidR="0030567B" w:rsidRPr="000906F0" w:rsidRDefault="00E14778" w:rsidP="00293343">
      <w:pPr>
        <w:pStyle w:val="BodyText"/>
        <w:numPr>
          <w:ilvl w:val="0"/>
          <w:numId w:val="14"/>
        </w:numPr>
        <w:rPr>
          <w:rFonts w:ascii="MS Mincho" w:eastAsia="MS Mincho" w:hAnsi="MS Mincho"/>
        </w:rPr>
      </w:pPr>
      <w:r w:rsidRPr="000906F0">
        <w:rPr>
          <w:rFonts w:ascii="MS Mincho" w:eastAsia="MS Mincho" w:hAnsi="MS Mincho" w:hint="eastAsia"/>
        </w:rPr>
        <w:t xml:space="preserve">「取引」とは、証券担保契約または譲渡担保取引のいずれかにおいて、貴社と当社の間で締結、執行、または同意される取引で、貴社が金融商品を担保として提供することに同意する取引を意味します。 </w:t>
      </w:r>
    </w:p>
    <w:p w:rsidR="00D52239" w:rsidRPr="000906F0" w:rsidRDefault="00D52239" w:rsidP="00293343">
      <w:pPr>
        <w:pStyle w:val="BodyText"/>
        <w:numPr>
          <w:ilvl w:val="0"/>
          <w:numId w:val="14"/>
        </w:numPr>
        <w:rPr>
          <w:rFonts w:ascii="MS Mincho" w:eastAsia="MS Mincho" w:hAnsi="MS Mincho"/>
        </w:rPr>
      </w:pPr>
      <w:r w:rsidRPr="000906F0">
        <w:rPr>
          <w:rFonts w:ascii="MS Mincho" w:eastAsia="MS Mincho" w:hAnsi="MS Mincho" w:hint="eastAsia"/>
        </w:rPr>
        <w:t>「金融商品」、「証券担保契約」</w:t>
      </w:r>
      <w:r w:rsidR="001C2503" w:rsidRPr="000906F0">
        <w:rPr>
          <w:rFonts w:ascii="MS Mincho" w:eastAsia="MS Mincho" w:hAnsi="MS Mincho" w:hint="eastAsia"/>
        </w:rPr>
        <w:t>及び</w:t>
      </w:r>
      <w:r w:rsidRPr="000906F0">
        <w:rPr>
          <w:rFonts w:ascii="MS Mincho" w:eastAsia="MS Mincho" w:hAnsi="MS Mincho" w:hint="eastAsia"/>
        </w:rPr>
        <w:t xml:space="preserve">「譲渡担保契約」とは、証券金融取引規制)で定められた意味を有します。参考のため、これらを付記1に記載しています。 </w:t>
      </w:r>
    </w:p>
    <w:p w:rsidR="00272EC7" w:rsidRPr="000906F0" w:rsidRDefault="00272EC7" w:rsidP="0030567B">
      <w:pPr>
        <w:pStyle w:val="BodyText"/>
        <w:numPr>
          <w:ilvl w:val="0"/>
          <w:numId w:val="13"/>
        </w:numPr>
        <w:rPr>
          <w:rFonts w:ascii="MS Mincho" w:eastAsia="MS Mincho" w:hAnsi="MS Mincho"/>
          <w:b/>
        </w:rPr>
      </w:pPr>
      <w:r w:rsidRPr="000906F0">
        <w:rPr>
          <w:rFonts w:ascii="MS Mincho" w:eastAsia="MS Mincho" w:hAnsi="MS Mincho" w:hint="eastAsia"/>
          <w:b/>
        </w:rPr>
        <w:t xml:space="preserve">再使用リスクと結果 </w:t>
      </w:r>
    </w:p>
    <w:p w:rsidR="00751746" w:rsidRPr="000906F0" w:rsidRDefault="001F1771" w:rsidP="001F1771">
      <w:pPr>
        <w:pStyle w:val="BodyText"/>
        <w:numPr>
          <w:ilvl w:val="0"/>
          <w:numId w:val="22"/>
        </w:numPr>
        <w:rPr>
          <w:rFonts w:ascii="MS Mincho" w:eastAsia="MS Mincho" w:hAnsi="MS Mincho"/>
        </w:rPr>
      </w:pPr>
      <w:r w:rsidRPr="000906F0">
        <w:rPr>
          <w:rFonts w:ascii="MS Mincho" w:eastAsia="MS Mincho" w:hAnsi="MS Mincho" w:hint="eastAsia"/>
        </w:rPr>
        <w:t>譲渡担保契約で貴社が当社に金融商品を提供する場合、または使用権を含む証券担保契約に基づいて担保として貴社が当社に提供する金融商品に関連する使用権を当社が行使する場合、以下の再使用リスクと結果にご留意ください</w:t>
      </w:r>
      <w:r w:rsidRPr="000906F0">
        <w:rPr>
          <w:rStyle w:val="FootnoteReference"/>
          <w:rFonts w:ascii="MS Mincho" w:eastAsia="MS Mincho" w:hAnsi="MS Mincho"/>
        </w:rPr>
        <w:footnoteReference w:id="3"/>
      </w:r>
      <w:r w:rsidR="004F1FFB" w:rsidRPr="000906F0">
        <w:rPr>
          <w:rFonts w:ascii="MS Mincho" w:eastAsia="MS Mincho" w:hAnsi="MS Mincho"/>
        </w:rPr>
        <w:t>。</w:t>
      </w:r>
      <w:r w:rsidRPr="000906F0">
        <w:rPr>
          <w:rFonts w:ascii="MS Mincho" w:eastAsia="MS Mincho" w:hAnsi="MS Mincho"/>
        </w:rPr>
        <w:t xml:space="preserve"> </w:t>
      </w:r>
    </w:p>
    <w:p w:rsidR="00751746" w:rsidRPr="000906F0" w:rsidRDefault="00751746" w:rsidP="00751746">
      <w:pPr>
        <w:pStyle w:val="BodyText"/>
        <w:numPr>
          <w:ilvl w:val="2"/>
          <w:numId w:val="13"/>
        </w:numPr>
        <w:rPr>
          <w:rFonts w:ascii="MS Mincho" w:eastAsia="MS Mincho" w:hAnsi="MS Mincho"/>
        </w:rPr>
      </w:pPr>
      <w:r w:rsidRPr="000906F0">
        <w:rPr>
          <w:rFonts w:ascii="MS Mincho" w:eastAsia="MS Mincho" w:hAnsi="MS Mincho" w:hint="eastAsia"/>
        </w:rPr>
        <w:t xml:space="preserve">これらの金融商品に対して貴社が所有していた可能性がある所有権を含め、貴社の権利は、該当する担保契約の条項に則って、同等の金融商品の受け渡しに対する無担保の契約上の請求権によって置換されます。 </w:t>
      </w:r>
    </w:p>
    <w:p w:rsidR="00751746" w:rsidRPr="000906F0" w:rsidRDefault="00751746" w:rsidP="00751746">
      <w:pPr>
        <w:pStyle w:val="BodyText"/>
        <w:numPr>
          <w:ilvl w:val="2"/>
          <w:numId w:val="13"/>
        </w:numPr>
        <w:rPr>
          <w:rFonts w:ascii="MS Mincho" w:eastAsia="MS Mincho" w:hAnsi="MS Mincho"/>
        </w:rPr>
      </w:pPr>
      <w:r w:rsidRPr="000906F0">
        <w:rPr>
          <w:rFonts w:ascii="MS Mincho" w:eastAsia="MS Mincho" w:hAnsi="MS Mincho" w:hint="eastAsia"/>
        </w:rPr>
        <w:lastRenderedPageBreak/>
        <w:t xml:space="preserve">これらの金融商品は、顧客資産規則に準じて当社が保有するものではなく、過去に顧客資産保護権の対象になっていた場合も、しかる保護権は適用されません（例えば、その金融商品は当社の資産から分離されず、トラストの対象として保有されません）。 </w:t>
      </w:r>
    </w:p>
    <w:p w:rsidR="00751746" w:rsidRPr="000906F0" w:rsidRDefault="00751746" w:rsidP="00751746">
      <w:pPr>
        <w:pStyle w:val="BodyText"/>
        <w:numPr>
          <w:ilvl w:val="2"/>
          <w:numId w:val="13"/>
        </w:numPr>
        <w:rPr>
          <w:rFonts w:ascii="MS Mincho" w:eastAsia="MS Mincho" w:hAnsi="MS Mincho"/>
        </w:rPr>
      </w:pPr>
      <w:r w:rsidRPr="000906F0">
        <w:rPr>
          <w:rFonts w:ascii="MS Mincho" w:eastAsia="MS Mincho" w:hAnsi="MS Mincho" w:hint="eastAsia"/>
        </w:rPr>
        <w:t>当社が破綻または該当する契約の下で債務不履行になった場合は、同等の金融商品の受け渡しについての貴社の当社に対する請求権には担保が設定されず、該当する担保契約</w:t>
      </w:r>
      <w:r w:rsidR="001C2503" w:rsidRPr="000906F0">
        <w:rPr>
          <w:rFonts w:ascii="MS Mincho" w:eastAsia="MS Mincho" w:hAnsi="MS Mincho" w:hint="eastAsia"/>
        </w:rPr>
        <w:t>及び</w:t>
      </w:r>
      <w:r w:rsidRPr="000906F0">
        <w:rPr>
          <w:rFonts w:ascii="MS Mincho" w:eastAsia="MS Mincho" w:hAnsi="MS Mincho" w:hint="eastAsia"/>
        </w:rPr>
        <w:t xml:space="preserve">適用法の対象になります。したがって、貴社がしかる同等の金融商品を受け取ることができない、あるいはしかる金融商品の価値を全額回収できない場合があります（ただし、貴社に同等の金融商品を提供するという当社の義務を参照することにより、相殺または差し引きまたは免除可能な当社に対する貴社の債務ある場合、貴社のエクスポージャーが削減される可能性はあります）。 </w:t>
      </w:r>
    </w:p>
    <w:p w:rsidR="000F3E45" w:rsidRPr="000906F0" w:rsidRDefault="000F3E45" w:rsidP="000F3E45">
      <w:pPr>
        <w:pStyle w:val="BodyText"/>
        <w:numPr>
          <w:ilvl w:val="2"/>
          <w:numId w:val="13"/>
        </w:numPr>
        <w:rPr>
          <w:rFonts w:ascii="MS Mincho" w:eastAsia="MS Mincho" w:hAnsi="MS Mincho"/>
        </w:rPr>
      </w:pPr>
      <w:r w:rsidRPr="000906F0">
        <w:rPr>
          <w:rFonts w:ascii="MS Mincho" w:eastAsia="MS Mincho" w:hAnsi="MS Mincho" w:hint="eastAsia"/>
        </w:rPr>
        <w:t xml:space="preserve">破綻処理機関が当社に関して破綻処理制度に基づく権限を行使する場合、契約解消など、貴社が有する可能性がある当社に対して措置をとる権利は、該当する破綻処理機関によって停止の対象になる可能性があり、 </w:t>
      </w:r>
    </w:p>
    <w:p w:rsidR="000F3E45" w:rsidRPr="000906F0" w:rsidRDefault="000F3E45" w:rsidP="000F3E45">
      <w:pPr>
        <w:pStyle w:val="BodyText"/>
        <w:numPr>
          <w:ilvl w:val="3"/>
          <w:numId w:val="21"/>
        </w:numPr>
        <w:rPr>
          <w:rFonts w:ascii="MS Mincho" w:eastAsia="MS Mincho" w:hAnsi="MS Mincho"/>
        </w:rPr>
      </w:pPr>
      <w:r w:rsidRPr="000906F0">
        <w:rPr>
          <w:rFonts w:ascii="MS Mincho" w:eastAsia="MS Mincho" w:hAnsi="MS Mincho" w:hint="eastAsia"/>
        </w:rPr>
        <w:t>同等の金融商品の受け渡しに対する貴社の請求が（全額または一部）減額される可能性、または株式に転換される可能性があります。または</w:t>
      </w:r>
    </w:p>
    <w:p w:rsidR="000F3E45" w:rsidRPr="000906F0" w:rsidRDefault="000F3E45" w:rsidP="000F3E45">
      <w:pPr>
        <w:pStyle w:val="BodyText"/>
        <w:numPr>
          <w:ilvl w:val="3"/>
          <w:numId w:val="21"/>
        </w:numPr>
        <w:rPr>
          <w:rFonts w:ascii="MS Mincho" w:eastAsia="MS Mincho" w:hAnsi="MS Mincho"/>
        </w:rPr>
      </w:pPr>
      <w:r w:rsidRPr="000906F0">
        <w:rPr>
          <w:rFonts w:ascii="MS Mincho" w:eastAsia="MS Mincho" w:hAnsi="MS Mincho" w:hint="eastAsia"/>
        </w:rPr>
        <w:t>資産または債務の譲渡により、貴社の当社に対する請求または当社の貴社に対する請求が別の団体に譲渡される可能性があります。</w:t>
      </w:r>
    </w:p>
    <w:p w:rsidR="000F3E45" w:rsidRPr="000906F0" w:rsidRDefault="000F3E45" w:rsidP="000F3E45">
      <w:pPr>
        <w:pStyle w:val="BodyText"/>
        <w:ind w:left="1800"/>
        <w:rPr>
          <w:rFonts w:ascii="MS Mincho" w:eastAsia="MS Mincho" w:hAnsi="MS Mincho"/>
        </w:rPr>
      </w:pPr>
      <w:r w:rsidRPr="000906F0">
        <w:rPr>
          <w:rFonts w:ascii="MS Mincho" w:eastAsia="MS Mincho" w:hAnsi="MS Mincho" w:hint="eastAsia"/>
        </w:rPr>
        <w:t xml:space="preserve">ただし、破綻処理権限の行使が権利の相殺または差し引きの利用可能によって制限されている範囲で、貴社は保護される可能性があります。 </w:t>
      </w:r>
    </w:p>
    <w:p w:rsidR="00751746" w:rsidRPr="000906F0" w:rsidRDefault="00273833" w:rsidP="00751746">
      <w:pPr>
        <w:pStyle w:val="BodyText"/>
        <w:numPr>
          <w:ilvl w:val="2"/>
          <w:numId w:val="13"/>
        </w:numPr>
        <w:rPr>
          <w:rFonts w:ascii="MS Mincho" w:eastAsia="MS Mincho" w:hAnsi="MS Mincho"/>
        </w:rPr>
      </w:pPr>
      <w:r w:rsidRPr="000906F0">
        <w:rPr>
          <w:rFonts w:ascii="MS Mincho" w:eastAsia="MS Mincho" w:hAnsi="MS Mincho" w:hint="eastAsia"/>
        </w:rPr>
        <w:t>これらの金融商品に対して貴社に所有持分がなくなる結果、金融商品に付随する議決権、同意権またはその他の権利を行使する権利がなくなり、当社が貴社の指示に従ってその金融商品に付随する議決権、同意権またはその他の権利の行使に同意している場合であっても、または該当する担保契約で、当社が貴社に受け渡しする予定の同等の金融商品が当該議決権、同意権、権利の行使の主題に関連す</w:t>
      </w:r>
      <w:r w:rsidRPr="000906F0">
        <w:rPr>
          <w:rFonts w:ascii="MS Mincho" w:eastAsia="MS Mincho" w:hAnsi="MS Mincho" w:hint="eastAsia"/>
        </w:rPr>
        <w:lastRenderedPageBreak/>
        <w:t xml:space="preserve">る貴社の指示を反映するよう貴社が当社に通知する権利が付与されている場合であっても、当社が同等の金融商品を保有しておらず、速やかに同等の金融商品を入手できない場合は、当社はそれを遵守できない可能性があります（当事者間で同意したその他の解決策がある場合があります）。 </w:t>
      </w:r>
    </w:p>
    <w:p w:rsidR="00273833" w:rsidRPr="000906F0" w:rsidRDefault="00AA2FD2" w:rsidP="00751746">
      <w:pPr>
        <w:pStyle w:val="BodyText"/>
        <w:numPr>
          <w:ilvl w:val="2"/>
          <w:numId w:val="13"/>
        </w:numPr>
        <w:rPr>
          <w:rFonts w:ascii="MS Mincho" w:eastAsia="MS Mincho" w:hAnsi="MS Mincho"/>
        </w:rPr>
      </w:pPr>
      <w:r w:rsidRPr="000906F0">
        <w:rPr>
          <w:rFonts w:ascii="MS Mincho" w:eastAsia="MS Mincho" w:hAnsi="MS Mincho" w:hint="eastAsia"/>
        </w:rPr>
        <w:t>要求された時点で当社が貴社に同等の金融商品を速やかに入手して受け渡しできない場合は、これらの金融商品に関連して貴社が契約を締結しているヘッジやその他の取引に基づく決済義務を遂行できない可能性があります。カウンターパーティ、取引所や他者が、該当する金融商品の購入権を行使する可能性があります。貴社はこれらの金融商品に関連して権利を行使できない場合や、その他の措置をと</w:t>
      </w:r>
      <w:r w:rsidR="001468CD">
        <w:rPr>
          <w:rFonts w:ascii="MS Mincho" w:eastAsia="MS Mincho" w:hAnsi="MS Mincho"/>
        </w:rPr>
        <w:t>ることがで</w:t>
      </w:r>
      <w:r w:rsidR="001468CD" w:rsidRPr="0068064A">
        <w:rPr>
          <w:rFonts w:ascii="MS Mincho" w:eastAsia="MS Mincho" w:hAnsi="MS Mincho"/>
        </w:rPr>
        <w:t>きない</w:t>
      </w:r>
      <w:r w:rsidRPr="000906F0">
        <w:rPr>
          <w:rFonts w:ascii="MS Mincho" w:eastAsia="MS Mincho" w:hAnsi="MS Mincho" w:hint="eastAsia"/>
        </w:rPr>
        <w:t xml:space="preserve">場合があります。 </w:t>
      </w:r>
    </w:p>
    <w:p w:rsidR="00751746" w:rsidRPr="000906F0" w:rsidRDefault="00751746" w:rsidP="00751746">
      <w:pPr>
        <w:pStyle w:val="BodyText"/>
        <w:numPr>
          <w:ilvl w:val="2"/>
          <w:numId w:val="13"/>
        </w:numPr>
        <w:rPr>
          <w:rFonts w:ascii="MS Mincho" w:eastAsia="MS Mincho" w:hAnsi="MS Mincho"/>
        </w:rPr>
      </w:pPr>
      <w:r w:rsidRPr="000906F0">
        <w:rPr>
          <w:rFonts w:ascii="MS Mincho" w:eastAsia="MS Mincho" w:hAnsi="MS Mincho" w:hint="eastAsia"/>
        </w:rPr>
        <w:t xml:space="preserve">貴社と当社の明示的な合意を条件として、当社はこれらの金融商品に関連するコーポレートイベントやアクションについて貴社に通知する義務を負いません。 </w:t>
      </w:r>
    </w:p>
    <w:p w:rsidR="00751746" w:rsidRPr="000906F0" w:rsidRDefault="00751746" w:rsidP="00751746">
      <w:pPr>
        <w:pStyle w:val="BodyText"/>
        <w:numPr>
          <w:ilvl w:val="2"/>
          <w:numId w:val="13"/>
        </w:numPr>
        <w:rPr>
          <w:rFonts w:ascii="MS Mincho" w:eastAsia="MS Mincho" w:hAnsi="MS Mincho"/>
        </w:rPr>
      </w:pPr>
      <w:r w:rsidRPr="000906F0">
        <w:rPr>
          <w:rFonts w:ascii="MS Mincho" w:eastAsia="MS Mincho" w:hAnsi="MS Mincho" w:hint="eastAsia"/>
        </w:rPr>
        <w:t xml:space="preserve">貴社はこれらの金融商品に関連して支払われるべき配当金、クーポンやその他の支払い、利息や権利（累積または提示される証券や物件を含む）を受け取る権利はありません。ただし、該当する担保契約や取引で、しかる配当金、クーポン、その他の支払い（以下「作成された支払い」）に関する支払いを受けるか、クレジットを受けるように明示的に規定されている場合があります。 </w:t>
      </w:r>
    </w:p>
    <w:p w:rsidR="00751746" w:rsidRPr="000906F0" w:rsidRDefault="0009549A" w:rsidP="00751746">
      <w:pPr>
        <w:pStyle w:val="BodyText"/>
        <w:numPr>
          <w:ilvl w:val="2"/>
          <w:numId w:val="13"/>
        </w:numPr>
        <w:rPr>
          <w:rFonts w:ascii="MS Mincho" w:eastAsia="MS Mincho" w:hAnsi="MS Mincho"/>
        </w:rPr>
      </w:pPr>
      <w:r w:rsidRPr="000906F0">
        <w:rPr>
          <w:rFonts w:ascii="MS Mincho" w:eastAsia="MS Mincho" w:hAnsi="MS Mincho" w:hint="eastAsia"/>
        </w:rPr>
        <w:t>譲渡担保を当社に提供する場合は、貴社が当社に提供する一切の金融担保に対する当社の使用権の行使</w:t>
      </w:r>
      <w:r w:rsidR="001468CD" w:rsidRPr="000906F0">
        <w:rPr>
          <w:rFonts w:ascii="MS Mincho" w:eastAsia="MS Mincho" w:hAnsi="MS Mincho"/>
        </w:rPr>
        <w:t>、</w:t>
      </w:r>
      <w:r w:rsidR="001C2503" w:rsidRPr="000906F0">
        <w:rPr>
          <w:rFonts w:ascii="MS Mincho" w:eastAsia="MS Mincho" w:hAnsi="MS Mincho" w:hint="eastAsia"/>
        </w:rPr>
        <w:t>及び</w:t>
      </w:r>
      <w:r w:rsidRPr="000906F0">
        <w:rPr>
          <w:rFonts w:ascii="MS Mincho" w:eastAsia="MS Mincho" w:hAnsi="MS Mincho" w:hint="eastAsia"/>
        </w:rPr>
        <w:t xml:space="preserve">当社による同等の金融商品の貴社への受け渡しにより、これらの金融商品を貴社が保有する場合や貴社のアカウントで当社が保有する証券に適用される場合とは課税が異なる可能性があります。 </w:t>
      </w:r>
    </w:p>
    <w:p w:rsidR="00751746" w:rsidRPr="000906F0" w:rsidRDefault="00751746" w:rsidP="00751746">
      <w:pPr>
        <w:pStyle w:val="BodyText"/>
        <w:numPr>
          <w:ilvl w:val="2"/>
          <w:numId w:val="13"/>
        </w:numPr>
        <w:rPr>
          <w:rFonts w:ascii="MS Mincho" w:eastAsia="MS Mincho" w:hAnsi="MS Mincho"/>
        </w:rPr>
      </w:pPr>
      <w:r w:rsidRPr="000906F0">
        <w:rPr>
          <w:rFonts w:ascii="MS Mincho" w:eastAsia="MS Mincho" w:hAnsi="MS Mincho" w:hint="eastAsia"/>
        </w:rPr>
        <w:t>貴社が作成された支払いを受けた場合、またはそれに対してクレジットが行われた場合は、貴社の税務上の取り扱いが、これらの金融商品に関連する元来の配当金、クーポンまたはその他の支払いと異なる可能性があります。</w:t>
      </w:r>
    </w:p>
    <w:p w:rsidR="005D6987" w:rsidRPr="000906F0" w:rsidRDefault="001F1771" w:rsidP="00385CE1">
      <w:pPr>
        <w:pStyle w:val="BodyText"/>
        <w:numPr>
          <w:ilvl w:val="1"/>
          <w:numId w:val="13"/>
        </w:numPr>
        <w:rPr>
          <w:rFonts w:ascii="MS Mincho" w:eastAsia="MS Mincho" w:hAnsi="MS Mincho"/>
        </w:rPr>
      </w:pPr>
      <w:r w:rsidRPr="000906F0">
        <w:rPr>
          <w:rFonts w:ascii="MS Mincho" w:eastAsia="MS Mincho" w:hAnsi="MS Mincho" w:hint="eastAsia"/>
        </w:rPr>
        <w:lastRenderedPageBreak/>
        <w:t>当社が貴社に清算業務を提供する場合（清算参加者として直接行うかどうかにかかわらず）は、さらに下記の再使用</w:t>
      </w:r>
      <w:r w:rsidR="00552AE7" w:rsidRPr="00552AE7">
        <w:rPr>
          <w:rFonts w:ascii="MS Mincho" w:eastAsia="MS Mincho" w:hAnsi="MS Mincho" w:hint="eastAsia"/>
        </w:rPr>
        <w:t>及</w:t>
      </w:r>
      <w:r w:rsidRPr="000906F0">
        <w:rPr>
          <w:rFonts w:ascii="MS Mincho" w:eastAsia="MS Mincho" w:hAnsi="MS Mincho" w:hint="eastAsia"/>
        </w:rPr>
        <w:t>び結果にご注意ください</w:t>
      </w:r>
      <w:r w:rsidRPr="000906F0">
        <w:rPr>
          <w:rStyle w:val="FootnoteReference"/>
          <w:rFonts w:ascii="MS Mincho" w:eastAsia="MS Mincho" w:hAnsi="MS Mincho"/>
        </w:rPr>
        <w:footnoteReference w:id="4"/>
      </w:r>
      <w:r w:rsidRPr="000906F0">
        <w:rPr>
          <w:rFonts w:ascii="MS Mincho" w:eastAsia="MS Mincho" w:hAnsi="MS Mincho" w:hint="eastAsia"/>
        </w:rPr>
        <w:t>。</w:t>
      </w:r>
    </w:p>
    <w:p w:rsidR="00685CEC" w:rsidRPr="000906F0" w:rsidRDefault="00685CEC" w:rsidP="00385CE1">
      <w:pPr>
        <w:pStyle w:val="BodyText"/>
        <w:numPr>
          <w:ilvl w:val="2"/>
          <w:numId w:val="13"/>
        </w:numPr>
        <w:rPr>
          <w:rFonts w:ascii="MS Mincho" w:eastAsia="MS Mincho" w:hAnsi="MS Mincho"/>
        </w:rPr>
      </w:pPr>
      <w:r w:rsidRPr="000906F0">
        <w:rPr>
          <w:rFonts w:ascii="MS Mincho" w:eastAsia="MS Mincho" w:hAnsi="MS Mincho" w:hint="eastAsia"/>
        </w:rPr>
        <w:t>EUの中央清算機関（以下「</w:t>
      </w:r>
      <w:r w:rsidRPr="000906F0">
        <w:rPr>
          <w:rFonts w:ascii="MS Mincho" w:eastAsia="MS Mincho" w:hAnsi="MS Mincho"/>
          <w:b/>
        </w:rPr>
        <w:t>EU CCP</w:t>
      </w:r>
      <w:r w:rsidRPr="000906F0">
        <w:rPr>
          <w:rFonts w:ascii="MS Mincho" w:eastAsia="MS Mincho" w:hAnsi="MS Mincho" w:hint="eastAsia"/>
        </w:rPr>
        <w:t>」）によって当社の債務不履行が宣言された場合は、EU</w:t>
      </w:r>
      <w:r w:rsidRPr="000906F0">
        <w:rPr>
          <w:rFonts w:ascii="MS Mincho" w:eastAsia="MS Mincho" w:hAnsi="MS Mincho"/>
        </w:rPr>
        <w:t xml:space="preserve"> </w:t>
      </w:r>
      <w:r w:rsidRPr="000906F0">
        <w:rPr>
          <w:rFonts w:ascii="MS Mincho" w:eastAsia="MS Mincho" w:hAnsi="MS Mincho" w:hint="eastAsia"/>
        </w:rPr>
        <w:t>CCPが貴社の取引と資産を他の清算参加者に移転（以下「</w:t>
      </w:r>
      <w:r w:rsidRPr="000906F0">
        <w:rPr>
          <w:rFonts w:ascii="MS Mincho" w:eastAsia="MS Mincho" w:hAnsi="MS Mincho" w:hint="eastAsia"/>
          <w:b/>
        </w:rPr>
        <w:t>ポーティング</w:t>
      </w:r>
      <w:r w:rsidRPr="000906F0">
        <w:rPr>
          <w:rFonts w:ascii="MS Mincho" w:eastAsia="MS Mincho" w:hAnsi="MS Mincho" w:hint="eastAsia"/>
        </w:rPr>
        <w:t>」）しようとするか、またはこれが不可能な場合は、EU</w:t>
      </w:r>
      <w:r w:rsidRPr="000906F0">
        <w:rPr>
          <w:rFonts w:ascii="MS Mincho" w:eastAsia="MS Mincho" w:hAnsi="MS Mincho"/>
        </w:rPr>
        <w:t xml:space="preserve"> </w:t>
      </w:r>
      <w:r w:rsidRPr="000906F0">
        <w:rPr>
          <w:rFonts w:ascii="MS Mincho" w:eastAsia="MS Mincho" w:hAnsi="MS Mincho" w:hint="eastAsia"/>
        </w:rPr>
        <w:t>CCPが貴社の取引を終了します。</w:t>
      </w:r>
    </w:p>
    <w:p w:rsidR="00C44670" w:rsidRPr="000906F0" w:rsidRDefault="00685CEC" w:rsidP="00586FDF">
      <w:pPr>
        <w:pStyle w:val="BodyText"/>
        <w:numPr>
          <w:ilvl w:val="2"/>
          <w:numId w:val="13"/>
        </w:numPr>
        <w:rPr>
          <w:rFonts w:ascii="MS Mincho" w:eastAsia="MS Mincho" w:hAnsi="MS Mincho"/>
        </w:rPr>
      </w:pPr>
      <w:r w:rsidRPr="000906F0">
        <w:rPr>
          <w:rFonts w:ascii="MS Mincho" w:eastAsia="MS Mincho" w:hAnsi="MS Mincho" w:hint="eastAsia"/>
        </w:rPr>
        <w:t>清算制度の他の当事者（例えば中央清算機関、カストディアン、決済エージェント、当社が依頼する場合があるその他の清算参加者など）が債務不履行になった場合は、貴社は貴社の資産をすべて取り戻すことができない可能性があり、貴社の権利はその当事者が設立された国の法律（必ずしもイギリスの法律であるとは限りません）</w:t>
      </w:r>
      <w:r w:rsidR="001C2503" w:rsidRPr="000906F0">
        <w:rPr>
          <w:rFonts w:ascii="MS Mincho" w:eastAsia="MS Mincho" w:hAnsi="MS Mincho" w:hint="eastAsia"/>
        </w:rPr>
        <w:t>及び</w:t>
      </w:r>
      <w:r w:rsidRPr="000906F0">
        <w:rPr>
          <w:rFonts w:ascii="MS Mincho" w:eastAsia="MS Mincho" w:hAnsi="MS Mincho" w:hint="eastAsia"/>
        </w:rPr>
        <w:t>その当事者が備えている特定の保護措置によって異なる場合があります。</w:t>
      </w:r>
    </w:p>
    <w:p w:rsidR="00C44670" w:rsidRPr="000906F0" w:rsidRDefault="00685CEC" w:rsidP="00685CEC">
      <w:pPr>
        <w:pStyle w:val="BodyText"/>
        <w:numPr>
          <w:ilvl w:val="2"/>
          <w:numId w:val="13"/>
        </w:numPr>
        <w:rPr>
          <w:rFonts w:ascii="MS Mincho" w:eastAsia="MS Mincho" w:hAnsi="MS Mincho"/>
        </w:rPr>
      </w:pPr>
      <w:r w:rsidRPr="000906F0">
        <w:rPr>
          <w:rFonts w:ascii="MS Mincho" w:eastAsia="MS Mincho" w:hAnsi="MS Mincho" w:hint="eastAsia"/>
        </w:rPr>
        <w:t xml:space="preserve">一部の場合では、中央清算機関は、債務不履行になる清算参加者に関連する債務不履行規則の下で起こす行動（取引や関連資産のポーティングなど）が該当する破産法に基づいて異議を唱えられないように保護する法律の恩恵を受ける場合があります。 </w:t>
      </w:r>
      <w:r w:rsidRPr="000906F0">
        <w:rPr>
          <w:rFonts w:ascii="MS Mincho" w:eastAsia="MS Mincho" w:hAnsi="MS Mincho"/>
        </w:rPr>
        <w:br w:type="page"/>
      </w:r>
    </w:p>
    <w:p w:rsidR="009E0267" w:rsidRPr="000906F0" w:rsidRDefault="009E0267" w:rsidP="009E0267">
      <w:pPr>
        <w:spacing w:after="0" w:line="240" w:lineRule="auto"/>
        <w:jc w:val="center"/>
        <w:rPr>
          <w:rFonts w:ascii="MS Mincho" w:eastAsia="MS Mincho" w:hAnsi="MS Mincho"/>
          <w:b/>
        </w:rPr>
      </w:pPr>
      <w:r w:rsidRPr="000906F0">
        <w:rPr>
          <w:rFonts w:ascii="MS Mincho" w:eastAsia="MS Mincho" w:hAnsi="MS Mincho" w:hint="eastAsia"/>
          <w:b/>
        </w:rPr>
        <w:lastRenderedPageBreak/>
        <w:t>付記1</w:t>
      </w:r>
    </w:p>
    <w:p w:rsidR="009E0267" w:rsidRPr="000906F0" w:rsidRDefault="009E0267" w:rsidP="00D44DBE">
      <w:pPr>
        <w:spacing w:after="0" w:line="240" w:lineRule="auto"/>
        <w:rPr>
          <w:rFonts w:ascii="MS Mincho" w:eastAsia="MS Mincho" w:hAnsi="MS Mincho"/>
          <w:b/>
        </w:rPr>
      </w:pPr>
    </w:p>
    <w:p w:rsidR="009E0267" w:rsidRPr="000906F0" w:rsidRDefault="005D6987" w:rsidP="00D44DBE">
      <w:pPr>
        <w:spacing w:after="0"/>
        <w:rPr>
          <w:rFonts w:ascii="MS Mincho" w:eastAsia="MS Mincho" w:hAnsi="MS Mincho"/>
        </w:rPr>
      </w:pPr>
      <w:r w:rsidRPr="000906F0">
        <w:rPr>
          <w:rFonts w:ascii="MS Mincho" w:eastAsia="MS Mincho" w:hAnsi="MS Mincho" w:hint="eastAsia"/>
        </w:rPr>
        <w:t xml:space="preserve">証券金融取引規制の目的にために定義された用語： </w:t>
      </w:r>
    </w:p>
    <w:p w:rsidR="009E0267" w:rsidRPr="000906F0" w:rsidRDefault="009E0267" w:rsidP="00D44DBE">
      <w:pPr>
        <w:spacing w:after="0"/>
        <w:rPr>
          <w:rFonts w:ascii="MS Mincho" w:eastAsia="MS Mincho" w:hAnsi="MS Mincho"/>
        </w:rPr>
      </w:pPr>
    </w:p>
    <w:p w:rsidR="009E0267" w:rsidRPr="000906F0" w:rsidRDefault="009E0267" w:rsidP="00D44DBE">
      <w:pPr>
        <w:spacing w:after="0"/>
        <w:rPr>
          <w:rFonts w:ascii="MS Mincho" w:eastAsia="MS Mincho" w:hAnsi="MS Mincho"/>
        </w:rPr>
      </w:pPr>
      <w:r w:rsidRPr="000906F0">
        <w:rPr>
          <w:rFonts w:ascii="MS Mincho" w:eastAsia="MS Mincho" w:hAnsi="MS Mincho" w:hint="eastAsia"/>
        </w:rPr>
        <w:t>「</w:t>
      </w:r>
      <w:r w:rsidRPr="000906F0">
        <w:rPr>
          <w:rFonts w:ascii="MS Mincho" w:eastAsia="MS Mincho" w:hAnsi="MS Mincho" w:hint="eastAsia"/>
          <w:b/>
        </w:rPr>
        <w:t>金融商品</w:t>
      </w:r>
      <w:r w:rsidRPr="000906F0">
        <w:rPr>
          <w:rFonts w:ascii="MS Mincho" w:eastAsia="MS Mincho" w:hAnsi="MS Mincho" w:hint="eastAsia"/>
        </w:rPr>
        <w:t xml:space="preserve">」とは、金融商品の市場についての指令2014/65/EUの付則IセクションCに規定されている商品で、以下が含まれています（ただしそれらに制限されるものではありません）。 </w:t>
      </w:r>
    </w:p>
    <w:p w:rsidR="00B126D5" w:rsidRPr="000906F0" w:rsidRDefault="00B126D5" w:rsidP="00D44DBE">
      <w:pPr>
        <w:pStyle w:val="ListParagraph"/>
        <w:numPr>
          <w:ilvl w:val="0"/>
          <w:numId w:val="19"/>
        </w:numPr>
        <w:spacing w:after="0"/>
        <w:rPr>
          <w:rFonts w:ascii="MS Mincho" w:eastAsia="MS Mincho" w:hAnsi="MS Mincho"/>
        </w:rPr>
      </w:pPr>
      <w:r w:rsidRPr="000906F0">
        <w:rPr>
          <w:rFonts w:ascii="MS Mincho" w:eastAsia="MS Mincho" w:hAnsi="MS Mincho" w:hint="eastAsia"/>
        </w:rPr>
        <w:t>有価証券、</w:t>
      </w:r>
    </w:p>
    <w:p w:rsidR="00B126D5" w:rsidRPr="000906F0" w:rsidRDefault="00B126D5" w:rsidP="00D44DBE">
      <w:pPr>
        <w:pStyle w:val="ListParagraph"/>
        <w:numPr>
          <w:ilvl w:val="0"/>
          <w:numId w:val="19"/>
        </w:numPr>
        <w:spacing w:after="0"/>
        <w:rPr>
          <w:rFonts w:ascii="MS Mincho" w:eastAsia="MS Mincho" w:hAnsi="MS Mincho"/>
        </w:rPr>
      </w:pPr>
      <w:r w:rsidRPr="000906F0">
        <w:rPr>
          <w:rFonts w:ascii="MS Mincho" w:eastAsia="MS Mincho" w:hAnsi="MS Mincho" w:hint="eastAsia"/>
        </w:rPr>
        <w:t>短期金融市場商品、</w:t>
      </w:r>
    </w:p>
    <w:p w:rsidR="00B126D5" w:rsidRPr="000906F0" w:rsidRDefault="00B126D5" w:rsidP="00D44DBE">
      <w:pPr>
        <w:pStyle w:val="ListParagraph"/>
        <w:numPr>
          <w:ilvl w:val="0"/>
          <w:numId w:val="19"/>
        </w:numPr>
        <w:spacing w:after="0"/>
        <w:rPr>
          <w:rFonts w:ascii="MS Mincho" w:eastAsia="MS Mincho" w:hAnsi="MS Mincho"/>
        </w:rPr>
      </w:pPr>
      <w:r w:rsidRPr="000906F0">
        <w:rPr>
          <w:rFonts w:ascii="MS Mincho" w:eastAsia="MS Mincho" w:hAnsi="MS Mincho" w:hint="eastAsia"/>
        </w:rPr>
        <w:t>集合投資制度のユニット。</w:t>
      </w:r>
    </w:p>
    <w:p w:rsidR="009E0267" w:rsidRPr="000906F0" w:rsidRDefault="009E0267" w:rsidP="00D44DBE">
      <w:pPr>
        <w:spacing w:after="0"/>
        <w:rPr>
          <w:rFonts w:ascii="MS Mincho" w:eastAsia="MS Mincho" w:hAnsi="MS Mincho"/>
        </w:rPr>
      </w:pPr>
    </w:p>
    <w:p w:rsidR="009E0267" w:rsidRPr="000906F0" w:rsidRDefault="009E0267" w:rsidP="00D44DBE">
      <w:pPr>
        <w:spacing w:after="0"/>
        <w:rPr>
          <w:rFonts w:ascii="MS Mincho" w:eastAsia="MS Mincho" w:hAnsi="MS Mincho"/>
        </w:rPr>
      </w:pPr>
      <w:r w:rsidRPr="000906F0">
        <w:rPr>
          <w:rFonts w:ascii="MS Mincho" w:eastAsia="MS Mincho" w:hAnsi="MS Mincho" w:hint="eastAsia"/>
        </w:rPr>
        <w:t>「</w:t>
      </w:r>
      <w:r w:rsidRPr="000906F0">
        <w:rPr>
          <w:rFonts w:ascii="MS Mincho" w:eastAsia="MS Mincho" w:hAnsi="MS Mincho" w:hint="eastAsia"/>
          <w:b/>
        </w:rPr>
        <w:t>譲渡担保契約</w:t>
      </w:r>
      <w:r w:rsidRPr="000906F0">
        <w:rPr>
          <w:rFonts w:ascii="MS Mincho" w:eastAsia="MS Mincho" w:hAnsi="MS Mincho" w:hint="eastAsia"/>
        </w:rPr>
        <w:t xml:space="preserve">」とは、該当する金融債務の履行に担保またはその他の保護を提供する目的で、担保提供者が金融担保の所有権を全面的に担保受領者に譲渡する取り決め（レポ契約を含む）を意味します。 </w:t>
      </w:r>
    </w:p>
    <w:p w:rsidR="009E0267" w:rsidRPr="000906F0" w:rsidRDefault="009E0267" w:rsidP="00D44DBE">
      <w:pPr>
        <w:spacing w:after="0"/>
        <w:rPr>
          <w:rFonts w:ascii="MS Mincho" w:eastAsia="MS Mincho" w:hAnsi="MS Mincho"/>
        </w:rPr>
      </w:pPr>
    </w:p>
    <w:p w:rsidR="009E0267" w:rsidRPr="000906F0" w:rsidRDefault="009E0267" w:rsidP="00D44DBE">
      <w:pPr>
        <w:spacing w:after="0"/>
        <w:rPr>
          <w:rFonts w:ascii="MS Mincho" w:eastAsia="MS Mincho" w:hAnsi="MS Mincho"/>
        </w:rPr>
      </w:pPr>
      <w:r w:rsidRPr="000906F0">
        <w:rPr>
          <w:rFonts w:ascii="MS Mincho" w:eastAsia="MS Mincho" w:hAnsi="MS Mincho" w:hint="eastAsia"/>
        </w:rPr>
        <w:t>「</w:t>
      </w:r>
      <w:r w:rsidRPr="000906F0">
        <w:rPr>
          <w:rFonts w:ascii="MS Mincho" w:eastAsia="MS Mincho" w:hAnsi="MS Mincho" w:hint="eastAsia"/>
          <w:b/>
        </w:rPr>
        <w:t>証券担保契約</w:t>
      </w:r>
      <w:r w:rsidRPr="000906F0">
        <w:rPr>
          <w:rFonts w:ascii="MS Mincho" w:eastAsia="MS Mincho" w:hAnsi="MS Mincho" w:hint="eastAsia"/>
        </w:rPr>
        <w:t xml:space="preserve">」とは、担保提供者が担保受領者に対して、または担保受領者が受益者となる金融担保を提供し、担保権を確立した後も引き続き担保提供者がその金融担保の全面的所有権を維持する取り決めを意味します。 </w:t>
      </w:r>
    </w:p>
    <w:p w:rsidR="009E0267" w:rsidRPr="000906F0" w:rsidRDefault="009E0267" w:rsidP="00D44DBE">
      <w:pPr>
        <w:spacing w:after="0"/>
        <w:rPr>
          <w:rFonts w:ascii="MS Mincho" w:eastAsia="MS Mincho" w:hAnsi="MS Mincho"/>
          <w:b/>
          <w:highlight w:val="yellow"/>
        </w:rPr>
      </w:pPr>
    </w:p>
    <w:p w:rsidR="009E0267" w:rsidRPr="000906F0" w:rsidRDefault="009E0267" w:rsidP="009E0267">
      <w:pPr>
        <w:spacing w:after="0"/>
        <w:jc w:val="left"/>
        <w:rPr>
          <w:rFonts w:ascii="MS Mincho" w:eastAsia="MS Mincho" w:hAnsi="MS Mincho"/>
          <w:b/>
          <w:highlight w:val="yellow"/>
        </w:rPr>
      </w:pPr>
    </w:p>
    <w:p w:rsidR="009E0267" w:rsidRPr="000906F0" w:rsidRDefault="009E0267" w:rsidP="009E0267">
      <w:pPr>
        <w:spacing w:after="0"/>
        <w:jc w:val="left"/>
        <w:rPr>
          <w:rFonts w:ascii="MS Mincho" w:eastAsia="MS Mincho" w:hAnsi="MS Mincho"/>
          <w:highlight w:val="yellow"/>
        </w:rPr>
      </w:pPr>
    </w:p>
    <w:p w:rsidR="009E0267" w:rsidRPr="000906F0" w:rsidRDefault="009E0267">
      <w:pPr>
        <w:spacing w:after="0" w:line="240" w:lineRule="auto"/>
        <w:jc w:val="left"/>
        <w:rPr>
          <w:rFonts w:ascii="MS Mincho" w:eastAsia="MS Mincho" w:hAnsi="MS Mincho"/>
          <w:b/>
          <w:highlight w:val="yellow"/>
        </w:rPr>
      </w:pPr>
      <w:r w:rsidRPr="000906F0">
        <w:rPr>
          <w:rFonts w:ascii="MS Mincho" w:eastAsia="MS Mincho" w:hAnsi="MS Mincho"/>
          <w:highlight w:val="yellow"/>
        </w:rPr>
        <w:br w:type="page"/>
      </w:r>
    </w:p>
    <w:p w:rsidR="00C44670" w:rsidRPr="000906F0" w:rsidRDefault="00C44670" w:rsidP="00C44670">
      <w:pPr>
        <w:spacing w:after="0"/>
        <w:jc w:val="center"/>
        <w:rPr>
          <w:rFonts w:ascii="MS Mincho" w:eastAsia="MS Mincho" w:hAnsi="MS Mincho"/>
          <w:b/>
        </w:rPr>
      </w:pPr>
      <w:r w:rsidRPr="000906F0">
        <w:rPr>
          <w:rFonts w:ascii="MS Mincho" w:eastAsia="MS Mincho" w:hAnsi="MS Mincho" w:hint="eastAsia"/>
          <w:b/>
        </w:rPr>
        <w:lastRenderedPageBreak/>
        <w:t>付記2</w:t>
      </w:r>
    </w:p>
    <w:p w:rsidR="00C44670" w:rsidRPr="000906F0" w:rsidRDefault="00C44670" w:rsidP="00D44DBE">
      <w:pPr>
        <w:spacing w:after="0"/>
        <w:rPr>
          <w:rFonts w:ascii="MS Mincho" w:eastAsia="MS Mincho" w:hAnsi="MS Mincho"/>
          <w:b/>
        </w:rPr>
      </w:pPr>
    </w:p>
    <w:p w:rsidR="005D6987" w:rsidRPr="000906F0" w:rsidRDefault="005D6987" w:rsidP="00D44DBE">
      <w:pPr>
        <w:spacing w:after="0"/>
        <w:rPr>
          <w:rFonts w:ascii="MS Mincho" w:eastAsia="MS Mincho" w:hAnsi="MS Mincho"/>
        </w:rPr>
      </w:pPr>
      <w:r w:rsidRPr="000906F0">
        <w:rPr>
          <w:rFonts w:ascii="MS Mincho" w:eastAsia="MS Mincho" w:hAnsi="MS Mincho" w:hint="eastAsia"/>
        </w:rPr>
        <w:t>以下に、本情報開示書が適用される契約のタイプの例を記載しています。これらの例は参考のみを目的として提供されており、各契約の特徴を法的に判断する根拠として依存すべきではありません。契約が以下で譲渡担保契約に分類されていても、使用権付きの証券担保契約の特徴を除外するものではなく、その逆も同様です。さらに、契約の分類は米国と欧州の法律で異なる場合があります。</w:t>
      </w:r>
    </w:p>
    <w:p w:rsidR="005D6987" w:rsidRPr="000906F0" w:rsidRDefault="005D6987" w:rsidP="00D44DBE">
      <w:pPr>
        <w:spacing w:after="0"/>
        <w:rPr>
          <w:rFonts w:ascii="MS Mincho" w:eastAsia="MS Mincho" w:hAnsi="MS Mincho"/>
          <w:b/>
        </w:rPr>
      </w:pPr>
    </w:p>
    <w:p w:rsidR="00C44670" w:rsidRPr="000906F0" w:rsidRDefault="00C44670" w:rsidP="00D44DBE">
      <w:pPr>
        <w:spacing w:after="0" w:line="360" w:lineRule="auto"/>
        <w:rPr>
          <w:rFonts w:ascii="MS Mincho" w:eastAsia="MS Mincho" w:hAnsi="MS Mincho"/>
        </w:rPr>
      </w:pPr>
      <w:r w:rsidRPr="000906F0">
        <w:rPr>
          <w:rFonts w:ascii="MS Mincho" w:eastAsia="MS Mincho" w:hAnsi="MS Mincho" w:hint="eastAsia"/>
        </w:rPr>
        <w:t>譲渡担保契約</w:t>
      </w:r>
    </w:p>
    <w:p w:rsidR="00D44DBE" w:rsidRPr="000906F0" w:rsidRDefault="00D44DBE" w:rsidP="00D44DBE">
      <w:pPr>
        <w:spacing w:after="0" w:line="360" w:lineRule="auto"/>
        <w:rPr>
          <w:rFonts w:ascii="MS Mincho" w:eastAsia="MS Mincho" w:hAnsi="MS Mincho"/>
        </w:rPr>
      </w:pPr>
    </w:p>
    <w:p w:rsidR="00C44670" w:rsidRPr="000906F0" w:rsidRDefault="00C44670" w:rsidP="00D44DBE">
      <w:pPr>
        <w:pStyle w:val="ListParagraph"/>
        <w:spacing w:after="0" w:line="360" w:lineRule="auto"/>
        <w:rPr>
          <w:rFonts w:ascii="MS Mincho" w:eastAsia="MS Mincho" w:hAnsi="MS Mincho"/>
        </w:rPr>
      </w:pPr>
      <w:r w:rsidRPr="000906F0">
        <w:rPr>
          <w:rFonts w:ascii="MS Mincho" w:eastAsia="MS Mincho" w:hAnsi="MS Mincho" w:hint="eastAsia"/>
        </w:rPr>
        <w:t xml:space="preserve">このような取り決めには、以下が含まれる場合がありますが、それらに限定されるものではありません。 </w:t>
      </w:r>
    </w:p>
    <w:p w:rsidR="00C44670" w:rsidRPr="000906F0" w:rsidRDefault="00C44670"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t>海外証券貸借契約</w:t>
      </w:r>
    </w:p>
    <w:p w:rsidR="00C44670" w:rsidRPr="000906F0" w:rsidRDefault="00C44670"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t>グローバルマスター証券貸借契約</w:t>
      </w:r>
    </w:p>
    <w:p w:rsidR="00F0301C" w:rsidRPr="000906F0" w:rsidRDefault="00C44670"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t>グローバルマスターレポ契約</w:t>
      </w:r>
    </w:p>
    <w:p w:rsidR="00BF764D" w:rsidRPr="000906F0" w:rsidRDefault="00BF764D" w:rsidP="00366316">
      <w:pPr>
        <w:pStyle w:val="ListParagraph"/>
        <w:numPr>
          <w:ilvl w:val="0"/>
          <w:numId w:val="16"/>
        </w:numPr>
        <w:spacing w:after="0" w:line="360" w:lineRule="auto"/>
        <w:jc w:val="left"/>
        <w:rPr>
          <w:rFonts w:ascii="MS Mincho" w:eastAsia="MS Mincho" w:hAnsi="MS Mincho"/>
        </w:rPr>
      </w:pPr>
      <w:r w:rsidRPr="000906F0">
        <w:rPr>
          <w:rFonts w:ascii="MS Mincho" w:eastAsia="MS Mincho" w:hAnsi="MS Mincho" w:hint="eastAsia"/>
        </w:rPr>
        <w:t>SIFMAマスターレポ契約</w:t>
      </w:r>
    </w:p>
    <w:p w:rsidR="00C44670" w:rsidRPr="000906F0" w:rsidRDefault="00A0428D"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t>英国法を準拠法とするISDA信用補完付則が組み込まれているISDAマスター契約</w:t>
      </w:r>
    </w:p>
    <w:p w:rsidR="00CB4524" w:rsidRPr="000906F0" w:rsidRDefault="000C64BD"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t>ISDA/FIA顧客清算OTCデリバティブ付則で、譲渡担保契約が規定されており、特に英国法を準拠法とするISDAマスター契約（本書付記1に記載されている英国法を準拠法とするCSA担保条項を含む）に関連して締結した契約、または該当するFIA顧客清算契約に関連して締結された契約、または該当するFIA顧客清算契約に関連して締結された契約</w:t>
      </w:r>
    </w:p>
    <w:p w:rsidR="0002105A" w:rsidRPr="000906F0" w:rsidRDefault="0002105A"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t>マスターギルト買戻し条件付株式貸借契約</w:t>
      </w:r>
    </w:p>
    <w:p w:rsidR="0002105A" w:rsidRPr="000906F0" w:rsidRDefault="0002105A"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t>マスター株式･固定金利株式貸借契約</w:t>
      </w:r>
      <w:r w:rsidRPr="000906F0">
        <w:rPr>
          <w:rFonts w:ascii="MS Mincho" w:eastAsia="MS Mincho" w:hAnsi="MS Mincho"/>
        </w:rPr>
        <w:t xml:space="preserve"> </w:t>
      </w:r>
    </w:p>
    <w:p w:rsidR="00A5426B" w:rsidRPr="000906F0" w:rsidRDefault="00A5426B"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t>譲渡担保契約が規定されているプライムブローカー契約</w:t>
      </w:r>
    </w:p>
    <w:p w:rsidR="00A0428D" w:rsidRPr="000906F0" w:rsidRDefault="00A0428D"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t>上場</w:t>
      </w:r>
      <w:r w:rsidR="001C2503" w:rsidRPr="000906F0">
        <w:rPr>
          <w:rFonts w:ascii="MS Mincho" w:eastAsia="MS Mincho" w:hAnsi="MS Mincho" w:hint="eastAsia"/>
        </w:rPr>
        <w:t>及び</w:t>
      </w:r>
      <w:r w:rsidRPr="000906F0">
        <w:rPr>
          <w:rFonts w:ascii="MS Mincho" w:eastAsia="MS Mincho" w:hAnsi="MS Mincho" w:hint="eastAsia"/>
        </w:rPr>
        <w:t>その他の清算されたデリバティブを対象にするFIA顧客清算契約で、譲渡担保契約が規定されている契約</w:t>
      </w:r>
    </w:p>
    <w:p w:rsidR="00A0428D" w:rsidRPr="000906F0" w:rsidRDefault="00A0428D" w:rsidP="00D44DBE">
      <w:pPr>
        <w:pStyle w:val="ListParagraph"/>
        <w:numPr>
          <w:ilvl w:val="0"/>
          <w:numId w:val="16"/>
        </w:numPr>
        <w:spacing w:after="0" w:line="360" w:lineRule="auto"/>
        <w:contextualSpacing w:val="0"/>
        <w:rPr>
          <w:rFonts w:ascii="MS Mincho" w:eastAsia="MS Mincho" w:hAnsi="MS Mincho"/>
        </w:rPr>
      </w:pPr>
      <w:r w:rsidRPr="000906F0">
        <w:rPr>
          <w:rFonts w:ascii="MS Mincho" w:eastAsia="MS Mincho" w:hAnsi="MS Mincho" w:hint="eastAsia"/>
        </w:rPr>
        <w:t>FIA清算モジュールで、譲渡担保契約が規定されている契約</w:t>
      </w:r>
    </w:p>
    <w:p w:rsidR="00C57998" w:rsidRPr="000906F0" w:rsidRDefault="00C329C6" w:rsidP="00D44DBE">
      <w:pPr>
        <w:pStyle w:val="ListParagraph"/>
        <w:numPr>
          <w:ilvl w:val="0"/>
          <w:numId w:val="16"/>
        </w:numPr>
        <w:spacing w:after="0" w:line="360" w:lineRule="auto"/>
        <w:rPr>
          <w:rFonts w:ascii="MS Mincho" w:eastAsia="MS Mincho" w:hAnsi="MS Mincho"/>
        </w:rPr>
      </w:pPr>
      <w:r w:rsidRPr="000906F0">
        <w:rPr>
          <w:rFonts w:ascii="MS Mincho" w:eastAsia="MS Mincho" w:hAnsi="MS Mincho" w:hint="eastAsia"/>
        </w:rPr>
        <w:lastRenderedPageBreak/>
        <w:t>担保提供先に譲渡することにより担保を付与しているカスタマイズされた契約</w:t>
      </w:r>
    </w:p>
    <w:p w:rsidR="00C44670" w:rsidRPr="000906F0" w:rsidRDefault="00C44670" w:rsidP="00D44DBE">
      <w:pPr>
        <w:spacing w:after="0" w:line="360" w:lineRule="auto"/>
        <w:rPr>
          <w:rFonts w:ascii="MS Mincho" w:eastAsia="MS Mincho" w:hAnsi="MS Mincho"/>
        </w:rPr>
      </w:pPr>
    </w:p>
    <w:p w:rsidR="00C44670" w:rsidRPr="000906F0" w:rsidRDefault="00C44670" w:rsidP="00D44DBE">
      <w:pPr>
        <w:spacing w:after="0" w:line="360" w:lineRule="auto"/>
        <w:rPr>
          <w:rFonts w:ascii="MS Mincho" w:eastAsia="MS Mincho" w:hAnsi="MS Mincho"/>
        </w:rPr>
      </w:pPr>
      <w:r w:rsidRPr="000906F0">
        <w:rPr>
          <w:rFonts w:ascii="MS Mincho" w:eastAsia="MS Mincho" w:hAnsi="MS Mincho" w:hint="eastAsia"/>
        </w:rPr>
        <w:t>使用権を含む担保契約</w:t>
      </w:r>
    </w:p>
    <w:p w:rsidR="00D44DBE" w:rsidRPr="000906F0" w:rsidRDefault="00D44DBE" w:rsidP="00D44DBE">
      <w:pPr>
        <w:spacing w:after="0" w:line="360" w:lineRule="auto"/>
        <w:rPr>
          <w:rFonts w:ascii="MS Mincho" w:eastAsia="MS Mincho" w:hAnsi="MS Mincho"/>
        </w:rPr>
      </w:pPr>
    </w:p>
    <w:p w:rsidR="00C44670" w:rsidRPr="000906F0" w:rsidRDefault="00C44670" w:rsidP="00D44DBE">
      <w:pPr>
        <w:pStyle w:val="ListParagraph"/>
        <w:spacing w:after="0" w:line="360" w:lineRule="auto"/>
        <w:rPr>
          <w:rFonts w:ascii="MS Mincho" w:eastAsia="MS Mincho" w:hAnsi="MS Mincho" w:cs="Times New Roman"/>
        </w:rPr>
      </w:pPr>
      <w:r w:rsidRPr="000906F0">
        <w:rPr>
          <w:rFonts w:ascii="MS Mincho" w:eastAsia="MS Mincho" w:hAnsi="MS Mincho" w:hint="eastAsia"/>
        </w:rPr>
        <w:t xml:space="preserve">このような取り決めには、以下が含まれる場合がありますが、それらに限定されるものではありません。 </w:t>
      </w:r>
    </w:p>
    <w:p w:rsidR="00870240" w:rsidRPr="000906F0" w:rsidRDefault="00A0428D" w:rsidP="00D44DBE">
      <w:pPr>
        <w:pStyle w:val="ListParagraph"/>
        <w:numPr>
          <w:ilvl w:val="0"/>
          <w:numId w:val="17"/>
        </w:numPr>
        <w:spacing w:after="0" w:line="360" w:lineRule="auto"/>
        <w:rPr>
          <w:rFonts w:ascii="MS Mincho" w:eastAsia="MS Mincho" w:hAnsi="MS Mincho" w:cs="Times New Roman"/>
        </w:rPr>
      </w:pPr>
      <w:r w:rsidRPr="000906F0">
        <w:rPr>
          <w:rFonts w:ascii="MS Mincho" w:eastAsia="MS Mincho" w:hAnsi="MS Mincho" w:hint="eastAsia"/>
        </w:rPr>
        <w:t xml:space="preserve">ニューヨークの法律を準拠法とするISDA信用補完付則が組み込まれているISDAマスター契約 </w:t>
      </w:r>
    </w:p>
    <w:p w:rsidR="000C64BD" w:rsidRPr="000906F0" w:rsidRDefault="000C64BD" w:rsidP="00D44DBE">
      <w:pPr>
        <w:pStyle w:val="ListParagraph"/>
        <w:numPr>
          <w:ilvl w:val="0"/>
          <w:numId w:val="17"/>
        </w:numPr>
        <w:spacing w:after="0" w:line="360" w:lineRule="auto"/>
        <w:rPr>
          <w:rFonts w:ascii="MS Mincho" w:eastAsia="MS Mincho" w:hAnsi="MS Mincho" w:cs="Times New Roman"/>
        </w:rPr>
      </w:pPr>
      <w:r w:rsidRPr="000906F0">
        <w:rPr>
          <w:rFonts w:ascii="MS Mincho" w:eastAsia="MS Mincho" w:hAnsi="MS Mincho" w:hint="eastAsia"/>
        </w:rPr>
        <w:t>ISDA/FIA顧客清算OTCデリバティブ付則で、証券担保契約が規定されており、特にニューヨークの法律を準拠法とするISDAマスター契約（その付記2に規定されているニューヨークの法律を準拠法とするCSA担保条項を含む）に関連して締結された契約、または該当するFIA顧客清算契約に関連して締結された契約</w:t>
      </w:r>
    </w:p>
    <w:p w:rsidR="00870240" w:rsidRPr="000906F0" w:rsidRDefault="00A0428D" w:rsidP="00D44DBE">
      <w:pPr>
        <w:pStyle w:val="ListParagraph"/>
        <w:numPr>
          <w:ilvl w:val="0"/>
          <w:numId w:val="17"/>
        </w:numPr>
        <w:spacing w:after="0" w:line="360" w:lineRule="auto"/>
        <w:rPr>
          <w:rFonts w:ascii="MS Mincho" w:eastAsia="MS Mincho" w:hAnsi="MS Mincho" w:cs="Times New Roman"/>
        </w:rPr>
      </w:pPr>
      <w:r w:rsidRPr="000906F0">
        <w:rPr>
          <w:rFonts w:ascii="MS Mincho" w:eastAsia="MS Mincho" w:hAnsi="MS Mincho" w:hint="eastAsia"/>
        </w:rPr>
        <w:t>ISDAマスター契約で、使用権が組み込まれた英国の法律を準拠法とするISDA信用補完証書が信用補完文書となっている契約</w:t>
      </w:r>
    </w:p>
    <w:p w:rsidR="00C44670" w:rsidRPr="000906F0" w:rsidRDefault="00C44670" w:rsidP="00D44DBE">
      <w:pPr>
        <w:pStyle w:val="ListParagraph"/>
        <w:numPr>
          <w:ilvl w:val="0"/>
          <w:numId w:val="17"/>
        </w:numPr>
        <w:spacing w:after="0" w:line="360" w:lineRule="auto"/>
        <w:rPr>
          <w:rFonts w:ascii="MS Mincho" w:eastAsia="MS Mincho" w:hAnsi="MS Mincho" w:cs="Times New Roman"/>
        </w:rPr>
      </w:pPr>
      <w:r w:rsidRPr="000906F0">
        <w:rPr>
          <w:rFonts w:ascii="MS Mincho" w:eastAsia="MS Mincho" w:hAnsi="MS Mincho" w:hint="eastAsia"/>
        </w:rPr>
        <w:t>プライムブローカー契約で、金融商品に対する担保設定が規定されている契約</w:t>
      </w:r>
    </w:p>
    <w:p w:rsidR="00A0428D" w:rsidRPr="000906F0" w:rsidRDefault="00A0428D" w:rsidP="00D44DBE">
      <w:pPr>
        <w:pStyle w:val="ListParagraph"/>
        <w:numPr>
          <w:ilvl w:val="0"/>
          <w:numId w:val="17"/>
        </w:numPr>
        <w:spacing w:after="0" w:line="360" w:lineRule="auto"/>
        <w:rPr>
          <w:rFonts w:ascii="MS Mincho" w:eastAsia="MS Mincho" w:hAnsi="MS Mincho" w:cs="Times New Roman"/>
        </w:rPr>
      </w:pPr>
      <w:r w:rsidRPr="000906F0">
        <w:rPr>
          <w:rFonts w:ascii="MS Mincho" w:eastAsia="MS Mincho" w:hAnsi="MS Mincho" w:hint="eastAsia"/>
        </w:rPr>
        <w:t>上場</w:t>
      </w:r>
      <w:r w:rsidR="001C2503" w:rsidRPr="000906F0">
        <w:rPr>
          <w:rFonts w:ascii="MS Mincho" w:eastAsia="MS Mincho" w:hAnsi="MS Mincho" w:hint="eastAsia"/>
        </w:rPr>
        <w:t>及び</w:t>
      </w:r>
      <w:r w:rsidRPr="000906F0">
        <w:rPr>
          <w:rFonts w:ascii="MS Mincho" w:eastAsia="MS Mincho" w:hAnsi="MS Mincho" w:hint="eastAsia"/>
        </w:rPr>
        <w:t>その他の清算されたデリバティブを対象にするFIA顧客清算契約で、金融商品に対する担保設定が規定されている契約</w:t>
      </w:r>
    </w:p>
    <w:p w:rsidR="00A0428D" w:rsidRPr="000906F0" w:rsidRDefault="00A0428D" w:rsidP="00D44DBE">
      <w:pPr>
        <w:pStyle w:val="ListParagraph"/>
        <w:numPr>
          <w:ilvl w:val="0"/>
          <w:numId w:val="17"/>
        </w:numPr>
        <w:spacing w:after="0" w:line="360" w:lineRule="auto"/>
        <w:rPr>
          <w:rFonts w:ascii="MS Mincho" w:eastAsia="MS Mincho" w:hAnsi="MS Mincho" w:cs="Times New Roman"/>
        </w:rPr>
      </w:pPr>
      <w:r w:rsidRPr="000906F0">
        <w:rPr>
          <w:rFonts w:ascii="MS Mincho" w:eastAsia="MS Mincho" w:hAnsi="MS Mincho" w:hint="eastAsia"/>
        </w:rPr>
        <w:t>FIA清算モジュールで、金融商品に対する担保設定が規定されている契約</w:t>
      </w:r>
    </w:p>
    <w:p w:rsidR="00C44670" w:rsidRPr="000906F0" w:rsidRDefault="000F52E5" w:rsidP="00D44DBE">
      <w:pPr>
        <w:pStyle w:val="ListParagraph"/>
        <w:numPr>
          <w:ilvl w:val="0"/>
          <w:numId w:val="17"/>
        </w:numPr>
        <w:spacing w:after="0" w:line="360" w:lineRule="auto"/>
        <w:rPr>
          <w:rFonts w:ascii="MS Mincho" w:eastAsia="MS Mincho" w:hAnsi="MS Mincho" w:cs="Times New Roman"/>
        </w:rPr>
      </w:pPr>
      <w:r w:rsidRPr="000906F0">
        <w:rPr>
          <w:rFonts w:ascii="MS Mincho" w:eastAsia="MS Mincho" w:hAnsi="MS Mincho" w:hint="eastAsia"/>
        </w:rPr>
        <w:t>マージンローン文書</w:t>
      </w:r>
      <w:r w:rsidR="001C2503" w:rsidRPr="000906F0">
        <w:rPr>
          <w:rFonts w:ascii="MS Mincho" w:eastAsia="MS Mincho" w:hAnsi="MS Mincho" w:hint="eastAsia"/>
        </w:rPr>
        <w:t>及び</w:t>
      </w:r>
      <w:r w:rsidRPr="000906F0">
        <w:rPr>
          <w:rFonts w:ascii="MS Mincho" w:eastAsia="MS Mincho" w:hAnsi="MS Mincho" w:hint="eastAsia"/>
        </w:rPr>
        <w:t>関連するカストディ契約に関連する担保取り決め</w:t>
      </w:r>
    </w:p>
    <w:p w:rsidR="00BF764D" w:rsidRPr="000906F0" w:rsidRDefault="00BF764D" w:rsidP="00366316">
      <w:pPr>
        <w:pStyle w:val="ListParagraph"/>
        <w:numPr>
          <w:ilvl w:val="0"/>
          <w:numId w:val="17"/>
        </w:numPr>
        <w:spacing w:after="0" w:line="360" w:lineRule="auto"/>
        <w:jc w:val="left"/>
        <w:rPr>
          <w:rFonts w:ascii="MS Mincho" w:eastAsia="MS Mincho" w:hAnsi="MS Mincho"/>
        </w:rPr>
      </w:pPr>
      <w:r w:rsidRPr="000906F0">
        <w:rPr>
          <w:rFonts w:ascii="MS Mincho" w:eastAsia="MS Mincho" w:hAnsi="MS Mincho" w:hint="eastAsia"/>
        </w:rPr>
        <w:t>SIFMAマスター証券貸借契約（この契約は一般的に、貸し手に提供する担保に関する証券担保契約であり、借り手は借り入れ証券に対する所有権を取得する）</w:t>
      </w:r>
    </w:p>
    <w:p w:rsidR="00C57998" w:rsidRPr="000906F0" w:rsidRDefault="00647421" w:rsidP="00894A06">
      <w:pPr>
        <w:pStyle w:val="ListParagraph"/>
        <w:numPr>
          <w:ilvl w:val="0"/>
          <w:numId w:val="17"/>
        </w:numPr>
        <w:spacing w:after="0" w:line="360" w:lineRule="auto"/>
        <w:rPr>
          <w:rFonts w:ascii="MS Mincho" w:eastAsia="MS Mincho" w:hAnsi="MS Mincho" w:cs="Times New Roman"/>
        </w:rPr>
      </w:pPr>
      <w:r w:rsidRPr="000906F0">
        <w:rPr>
          <w:rFonts w:ascii="MS Mincho" w:eastAsia="MS Mincho" w:hAnsi="MS Mincho" w:hint="eastAsia"/>
        </w:rPr>
        <w:t>担保の提供を受けた当事者の便益のために、金融商品の再担保設定権または使用権が設定されている、金融商品に対する担保権を作成している、カスタマイズされた任意の担保契約</w:t>
      </w:r>
    </w:p>
    <w:p w:rsidR="00D72BF2" w:rsidRPr="000906F0" w:rsidRDefault="00D72BF2" w:rsidP="00D72BF2">
      <w:pPr>
        <w:pStyle w:val="ListParagraph"/>
        <w:spacing w:after="0" w:line="360" w:lineRule="auto"/>
        <w:rPr>
          <w:rFonts w:ascii="MS Mincho" w:eastAsia="MS Mincho" w:hAnsi="MS Mincho" w:cs="Times New Roman"/>
          <w:highlight w:val="yellow"/>
        </w:rPr>
      </w:pPr>
      <w:r w:rsidRPr="000906F0">
        <w:rPr>
          <w:rFonts w:ascii="MS Mincho" w:eastAsia="MS Mincho" w:hAnsi="MS Mincho"/>
          <w:highlight w:val="yellow"/>
        </w:rPr>
        <w:br w:type="page"/>
      </w:r>
    </w:p>
    <w:p w:rsidR="00D72BF2" w:rsidRPr="000906F0" w:rsidRDefault="00D72BF2" w:rsidP="00D72BF2">
      <w:pPr>
        <w:spacing w:after="0" w:line="360" w:lineRule="auto"/>
        <w:jc w:val="center"/>
        <w:rPr>
          <w:rFonts w:ascii="MS Mincho" w:eastAsia="MS Mincho" w:hAnsi="MS Mincho"/>
          <w:b/>
        </w:rPr>
      </w:pPr>
      <w:r w:rsidRPr="000906F0">
        <w:rPr>
          <w:rFonts w:ascii="MS Mincho" w:eastAsia="MS Mincho" w:hAnsi="MS Mincho" w:hint="eastAsia"/>
          <w:b/>
        </w:rPr>
        <w:lastRenderedPageBreak/>
        <w:t>付記3</w:t>
      </w:r>
    </w:p>
    <w:p w:rsidR="00D72BF2" w:rsidRPr="000906F0" w:rsidRDefault="00D72BF2" w:rsidP="00D72BF2">
      <w:pPr>
        <w:spacing w:after="0" w:line="360" w:lineRule="auto"/>
        <w:rPr>
          <w:rFonts w:ascii="MS Mincho" w:eastAsia="MS Mincho" w:hAnsi="MS Mincho"/>
          <w:b/>
        </w:rPr>
      </w:pPr>
      <w:r w:rsidRPr="000906F0">
        <w:rPr>
          <w:rFonts w:ascii="MS Mincho" w:eastAsia="MS Mincho" w:hAnsi="MS Mincho" w:hint="eastAsia"/>
          <w:b/>
        </w:rPr>
        <w:t>米国のブローカー・ディーラー、先物取次業者、</w:t>
      </w:r>
    </w:p>
    <w:p w:rsidR="00D72BF2" w:rsidRPr="000906F0" w:rsidRDefault="00D72BF2" w:rsidP="00D72BF2">
      <w:pPr>
        <w:spacing w:after="0" w:line="360" w:lineRule="auto"/>
        <w:rPr>
          <w:rFonts w:ascii="MS Mincho" w:eastAsia="MS Mincho" w:hAnsi="MS Mincho"/>
          <w:b/>
        </w:rPr>
      </w:pPr>
      <w:r w:rsidRPr="000906F0">
        <w:rPr>
          <w:rFonts w:ascii="MS Mincho" w:eastAsia="MS Mincho" w:hAnsi="MS Mincho" w:hint="eastAsia"/>
          <w:b/>
        </w:rPr>
        <w:t>または米国の銀行：</w:t>
      </w:r>
    </w:p>
    <w:p w:rsidR="00D72BF2" w:rsidRPr="000906F0" w:rsidRDefault="00D72BF2" w:rsidP="00D72BF2">
      <w:pPr>
        <w:rPr>
          <w:rFonts w:ascii="MS Mincho" w:eastAsia="MS Mincho" w:hAnsi="MS Mincho"/>
        </w:rPr>
      </w:pPr>
      <w:r w:rsidRPr="000906F0">
        <w:rPr>
          <w:rFonts w:ascii="MS Mincho" w:eastAsia="MS Mincho" w:hAnsi="MS Mincho" w:hint="eastAsia"/>
        </w:rPr>
        <w:t>本付記は、米国の連邦法または州法に基づき設立された銀行、米国外の銀行の米国支店または代理店（そのような銀行、支店または代理店を以下「</w:t>
      </w:r>
      <w:r w:rsidRPr="000906F0">
        <w:rPr>
          <w:rFonts w:ascii="MS Mincho" w:eastAsia="MS Mincho" w:hAnsi="MS Mincho" w:hint="eastAsia"/>
          <w:b/>
        </w:rPr>
        <w:t>米国銀行組織</w:t>
      </w:r>
      <w:r w:rsidRPr="000906F0">
        <w:rPr>
          <w:rFonts w:ascii="MS Mincho" w:eastAsia="MS Mincho" w:hAnsi="MS Mincho" w:hint="eastAsia"/>
        </w:rPr>
        <w:t>」）、米国証券取引委員会</w:t>
      </w:r>
      <w:r w:rsidRPr="000906F0">
        <w:rPr>
          <w:rFonts w:ascii="MS Mincho" w:eastAsia="MS Mincho" w:hAnsi="MS Mincho"/>
        </w:rPr>
        <w:t xml:space="preserve"> </w:t>
      </w:r>
      <w:r w:rsidRPr="000906F0">
        <w:rPr>
          <w:rFonts w:ascii="MS Mincho" w:eastAsia="MS Mincho" w:hAnsi="MS Mincho" w:hint="eastAsia"/>
        </w:rPr>
        <w:t>にブローカー・ディーラーとして登録されている米国の組織（以下「</w:t>
      </w:r>
      <w:r w:rsidRPr="000906F0">
        <w:rPr>
          <w:rFonts w:ascii="MS Mincho" w:eastAsia="MS Mincho" w:hAnsi="MS Mincho" w:hint="eastAsia"/>
          <w:b/>
        </w:rPr>
        <w:t>ブローカー・ディーラー</w:t>
      </w:r>
      <w:r w:rsidRPr="000906F0">
        <w:rPr>
          <w:rFonts w:ascii="MS Mincho" w:eastAsia="MS Mincho" w:hAnsi="MS Mincho" w:hint="eastAsia"/>
        </w:rPr>
        <w:t>」）、あるいは商品先物取引委員会に先物取次業者として登録されている米国の組織（以下「</w:t>
      </w:r>
      <w:r w:rsidRPr="000906F0">
        <w:rPr>
          <w:rFonts w:ascii="MS Mincho" w:eastAsia="MS Mincho" w:hAnsi="MS Mincho"/>
          <w:b/>
        </w:rPr>
        <w:t>FCM</w:t>
      </w:r>
      <w:r w:rsidRPr="000906F0">
        <w:rPr>
          <w:rFonts w:ascii="MS Mincho" w:eastAsia="MS Mincho" w:hAnsi="MS Mincho" w:hint="eastAsia"/>
        </w:rPr>
        <w:t>」）との担保契約で生じる可能性のある再使用のリスク</w:t>
      </w:r>
      <w:r w:rsidR="0068064A" w:rsidRPr="0068064A">
        <w:rPr>
          <w:rFonts w:ascii="MS Mincho" w:eastAsia="MS Mincho" w:hAnsi="MS Mincho" w:hint="eastAsia"/>
        </w:rPr>
        <w:t>及</w:t>
      </w:r>
      <w:r w:rsidRPr="000906F0">
        <w:rPr>
          <w:rFonts w:ascii="MS Mincho" w:eastAsia="MS Mincho" w:hAnsi="MS Mincho" w:hint="eastAsia"/>
        </w:rPr>
        <w:t>び結果について記載しています。単一の米国の組織は、ブローカー・ディーラー</w:t>
      </w:r>
      <w:r w:rsidR="001C2503" w:rsidRPr="000906F0">
        <w:rPr>
          <w:rFonts w:ascii="MS Mincho" w:eastAsia="MS Mincho" w:hAnsi="MS Mincho" w:hint="eastAsia"/>
        </w:rPr>
        <w:t>及び</w:t>
      </w:r>
      <w:r w:rsidRPr="000906F0">
        <w:rPr>
          <w:rFonts w:ascii="MS Mincho" w:eastAsia="MS Mincho" w:hAnsi="MS Mincho"/>
        </w:rPr>
        <w:t>FCM</w:t>
      </w:r>
      <w:r w:rsidRPr="000906F0">
        <w:rPr>
          <w:rFonts w:ascii="MS Mincho" w:eastAsia="MS Mincho" w:hAnsi="MS Mincho" w:hint="eastAsia"/>
        </w:rPr>
        <w:t>の両方として営業し規制を受けることができますが、その場合も個別の活動に対して別途規制上の義務が課されます。</w:t>
      </w:r>
    </w:p>
    <w:p w:rsidR="00D72BF2" w:rsidRPr="000906F0" w:rsidRDefault="00D72BF2" w:rsidP="00D72BF2">
      <w:pPr>
        <w:rPr>
          <w:rFonts w:ascii="MS Mincho" w:eastAsia="MS Mincho" w:hAnsi="MS Mincho"/>
        </w:rPr>
      </w:pPr>
      <w:r w:rsidRPr="000906F0">
        <w:rPr>
          <w:rFonts w:ascii="MS Mincho" w:eastAsia="MS Mincho" w:hAnsi="MS Mincho" w:hint="eastAsia"/>
        </w:rPr>
        <w:t>米国の法律では、ブローカー・ディーラーまたは</w:t>
      </w:r>
      <w:r w:rsidRPr="000906F0">
        <w:rPr>
          <w:rFonts w:ascii="MS Mincho" w:eastAsia="MS Mincho" w:hAnsi="MS Mincho"/>
        </w:rPr>
        <w:t>FCM</w:t>
      </w:r>
      <w:r w:rsidRPr="000906F0">
        <w:rPr>
          <w:rFonts w:ascii="MS Mincho" w:eastAsia="MS Mincho" w:hAnsi="MS Mincho" w:hint="eastAsia"/>
        </w:rPr>
        <w:t>に受け渡しされ顧客の資産として扱われる金融商品（以下「</w:t>
      </w:r>
      <w:r w:rsidRPr="000906F0">
        <w:rPr>
          <w:rFonts w:ascii="MS Mincho" w:eastAsia="MS Mincho" w:hAnsi="MS Mincho" w:hint="eastAsia"/>
          <w:b/>
        </w:rPr>
        <w:t>顧客資産</w:t>
      </w:r>
      <w:r w:rsidRPr="000906F0">
        <w:rPr>
          <w:rFonts w:ascii="MS Mincho" w:eastAsia="MS Mincho" w:hAnsi="MS Mincho" w:hint="eastAsia"/>
        </w:rPr>
        <w:t>」）、トラストまたはカストディアンとして米国銀行組織が保有する金融商品（以下「</w:t>
      </w:r>
      <w:r w:rsidRPr="000906F0">
        <w:rPr>
          <w:rFonts w:ascii="MS Mincho" w:eastAsia="MS Mincho" w:hAnsi="MS Mincho" w:hint="eastAsia"/>
          <w:b/>
        </w:rPr>
        <w:t>カストディ資産</w:t>
      </w:r>
      <w:r w:rsidRPr="000906F0">
        <w:rPr>
          <w:rFonts w:ascii="MS Mincho" w:eastAsia="MS Mincho" w:hAnsi="MS Mincho" w:hint="eastAsia"/>
        </w:rPr>
        <w:t>」）、米国銀行組織、ブローカー・ディーラーまたは</w:t>
      </w:r>
      <w:r w:rsidRPr="000906F0">
        <w:rPr>
          <w:rFonts w:ascii="MS Mincho" w:eastAsia="MS Mincho" w:hAnsi="MS Mincho"/>
        </w:rPr>
        <w:t>FCM</w:t>
      </w:r>
      <w:r w:rsidRPr="000906F0">
        <w:rPr>
          <w:rFonts w:ascii="MS Mincho" w:eastAsia="MS Mincho" w:hAnsi="MS Mincho" w:hint="eastAsia"/>
        </w:rPr>
        <w:t>が主体者（顧客以外）として受け渡しまたは担保提供を受けた金融商品（以下「</w:t>
      </w:r>
      <w:r w:rsidRPr="000906F0">
        <w:rPr>
          <w:rFonts w:ascii="MS Mincho" w:eastAsia="MS Mincho" w:hAnsi="MS Mincho" w:hint="eastAsia"/>
          <w:b/>
        </w:rPr>
        <w:t>非カストディ資産</w:t>
      </w:r>
      <w:r w:rsidRPr="000906F0">
        <w:rPr>
          <w:rFonts w:ascii="MS Mincho" w:eastAsia="MS Mincho" w:hAnsi="MS Mincho" w:hint="eastAsia"/>
        </w:rPr>
        <w:t>」）を区別しています。ブローカー・ディーラーまたは</w:t>
      </w:r>
      <w:r w:rsidRPr="000906F0">
        <w:rPr>
          <w:rFonts w:ascii="MS Mincho" w:eastAsia="MS Mincho" w:hAnsi="MS Mincho"/>
        </w:rPr>
        <w:t>FCM</w:t>
      </w:r>
      <w:r w:rsidRPr="000906F0">
        <w:rPr>
          <w:rFonts w:ascii="MS Mincho" w:eastAsia="MS Mincho" w:hAnsi="MS Mincho" w:hint="eastAsia"/>
        </w:rPr>
        <w:t>が保有する顧客資産は、それぞれ</w:t>
      </w:r>
      <w:r w:rsidRPr="000906F0">
        <w:rPr>
          <w:rFonts w:ascii="MS Mincho" w:eastAsia="MS Mincho" w:hAnsi="MS Mincho"/>
        </w:rPr>
        <w:t>SEC</w:t>
      </w:r>
      <w:r w:rsidR="001C2503" w:rsidRPr="000906F0">
        <w:rPr>
          <w:rFonts w:ascii="MS Mincho" w:eastAsia="MS Mincho" w:hAnsi="MS Mincho" w:hint="eastAsia"/>
        </w:rPr>
        <w:t>及び</w:t>
      </w:r>
      <w:r w:rsidRPr="000906F0">
        <w:rPr>
          <w:rFonts w:ascii="MS Mincho" w:eastAsia="MS Mincho" w:hAnsi="MS Mincho"/>
        </w:rPr>
        <w:t>CFTC</w:t>
      </w:r>
      <w:r w:rsidRPr="000906F0">
        <w:rPr>
          <w:rFonts w:ascii="MS Mincho" w:eastAsia="MS Mincho" w:hAnsi="MS Mincho" w:hint="eastAsia"/>
        </w:rPr>
        <w:t>の規則に則り分離が義務づけられており、専用の破綻制度の下で、分離された資産（すなわち顧客資産</w:t>
      </w:r>
      <w:r w:rsidR="001C2503" w:rsidRPr="000906F0">
        <w:rPr>
          <w:rFonts w:ascii="MS Mincho" w:eastAsia="MS Mincho" w:hAnsi="MS Mincho" w:hint="eastAsia"/>
        </w:rPr>
        <w:t>及び</w:t>
      </w:r>
      <w:r w:rsidRPr="000906F0">
        <w:rPr>
          <w:rFonts w:ascii="MS Mincho" w:eastAsia="MS Mincho" w:hAnsi="MS Mincho" w:hint="eastAsia"/>
        </w:rPr>
        <w:t>分離勘定で保有することが義務づけられているキャッシュ）を顧客に分配します。米国銀行組織が保有するカストディ資産は、一般的にアカウントまたは顧客別に分離されていますが、場合によってはブローカー・ディーラー</w:t>
      </w:r>
      <w:r w:rsidR="001C2503" w:rsidRPr="000906F0">
        <w:rPr>
          <w:rFonts w:ascii="MS Mincho" w:eastAsia="MS Mincho" w:hAnsi="MS Mincho" w:hint="eastAsia"/>
        </w:rPr>
        <w:t>及び</w:t>
      </w:r>
      <w:r w:rsidRPr="000906F0">
        <w:rPr>
          <w:rFonts w:ascii="MS Mincho" w:eastAsia="MS Mincho" w:hAnsi="MS Mincho"/>
        </w:rPr>
        <w:t>FCM</w:t>
      </w:r>
      <w:r w:rsidRPr="000906F0">
        <w:rPr>
          <w:rFonts w:ascii="MS Mincho" w:eastAsia="MS Mincho" w:hAnsi="MS Mincho" w:hint="eastAsia"/>
        </w:rPr>
        <w:t>は全顧客の相乗り形式で顧客資産を分離することが許可されています。</w:t>
      </w:r>
    </w:p>
    <w:p w:rsidR="00D72BF2" w:rsidRPr="000906F0" w:rsidRDefault="00D72BF2" w:rsidP="00D72BF2">
      <w:pPr>
        <w:rPr>
          <w:rFonts w:ascii="MS Mincho" w:eastAsia="MS Mincho" w:hAnsi="MS Mincho"/>
        </w:rPr>
      </w:pPr>
      <w:r w:rsidRPr="000906F0">
        <w:rPr>
          <w:rFonts w:ascii="MS Mincho" w:eastAsia="MS Mincho" w:hAnsi="MS Mincho" w:hint="eastAsia"/>
        </w:rPr>
        <w:t>ブローカー・ディーラーの証券アカウントで保有されている金融商品または清算されたデリバティブに対するマージン（または「履行担保」）として</w:t>
      </w:r>
      <w:r w:rsidRPr="000906F0">
        <w:rPr>
          <w:rFonts w:ascii="MS Mincho" w:eastAsia="MS Mincho" w:hAnsi="MS Mincho"/>
        </w:rPr>
        <w:t>FCM</w:t>
      </w:r>
      <w:r w:rsidRPr="000906F0">
        <w:rPr>
          <w:rFonts w:ascii="MS Mincho" w:eastAsia="MS Mincho" w:hAnsi="MS Mincho" w:hint="eastAsia"/>
        </w:rPr>
        <w:t>に受け渡しされた金融商品は、一般的に顧客資産となります。逆に、レポや証券貸借契約に基づいて当社に受け渡された証券は、通常顧客資産ではありません。当社がブローカー・ディーラーとして受領した顧客資産に対して、貴社が証券貸借契約に基づいて当社に金融商品を貸借することに別途ご同意いただいている場合、あるいはレポ契約に基づいて当社に金融商品を売却することにご同意いただいている場合は、貴社のアカウントからその金融商品が除去され、顧客保護の対象にはならなくなります。そのような取引に基づいて当社に受け渡された金融商品は、非顧客資産になります。</w:t>
      </w:r>
      <w:r w:rsidRPr="000906F0">
        <w:rPr>
          <w:rFonts w:ascii="MS Mincho" w:eastAsia="MS Mincho" w:hAnsi="MS Mincho" w:hint="eastAsia"/>
          <w:b/>
          <w:i/>
        </w:rPr>
        <w:t>担保として当社に提供する、または受け渡しする金融商品が顧客資産であるかどうかが不明である場合は、法務上のアドバイスを受けてください。</w:t>
      </w:r>
    </w:p>
    <w:p w:rsidR="00D72BF2" w:rsidRPr="000906F0" w:rsidRDefault="00D72BF2" w:rsidP="00D72BF2">
      <w:pPr>
        <w:rPr>
          <w:rFonts w:ascii="MS Mincho" w:eastAsia="MS Mincho" w:hAnsi="MS Mincho"/>
        </w:rPr>
      </w:pPr>
      <w:r w:rsidRPr="000906F0">
        <w:rPr>
          <w:rFonts w:ascii="MS Mincho" w:eastAsia="MS Mincho" w:hAnsi="MS Mincho" w:hint="eastAsia"/>
        </w:rPr>
        <w:lastRenderedPageBreak/>
        <w:t>CFTCの規制対象になる貴社の取引に関連して、当社がFCMとして受け取る顧客資産については、通常、当社はこれらの取引のマージン、保証、担保以外に使用することはできません。すなわち当社では、規則または契約書により、当該顧客資産がFCMの顧客の財産であり顧客取引のマージン、保証または担保の目的のみで使用できることを認識する銀行、清算所、清算参加者に当社が開設する分離または有担保のアカウントに、当該資産を移転する可能性があります。さらに、FCMはレポ契約に則り、しかる分離された顧客資産を代替することができますが、これは、極めて厳しいCFTC規制（しかる代替が「受け渡し対受け渡し」方式で行われ、代替する証券の市場価値が最低でも代替する顧客資産と同一であるという要件を含む）に準じて行われます。分離した資産が顧客の請求に全額応じるために不十分であった場合は、顧客はFCMが所有する資産に対して引き続き請求権を保持します。</w:t>
      </w:r>
    </w:p>
    <w:p w:rsidR="00D72BF2" w:rsidRPr="000906F0" w:rsidRDefault="00D72BF2" w:rsidP="00D72BF2">
      <w:pPr>
        <w:rPr>
          <w:rFonts w:ascii="MS Mincho" w:eastAsia="MS Mincho" w:hAnsi="MS Mincho"/>
        </w:rPr>
      </w:pPr>
      <w:r w:rsidRPr="000906F0">
        <w:rPr>
          <w:rFonts w:ascii="MS Mincho" w:eastAsia="MS Mincho" w:hAnsi="MS Mincho" w:hint="eastAsia"/>
        </w:rPr>
        <w:t>貴社の</w:t>
      </w:r>
      <w:r w:rsidRPr="000906F0">
        <w:rPr>
          <w:rFonts w:ascii="MS Mincho" w:eastAsia="MS Mincho" w:hAnsi="MS Mincho"/>
        </w:rPr>
        <w:t>SEC</w:t>
      </w:r>
      <w:r w:rsidRPr="000906F0">
        <w:rPr>
          <w:rFonts w:ascii="MS Mincho" w:eastAsia="MS Mincho" w:hAnsi="MS Mincho" w:hint="eastAsia"/>
        </w:rPr>
        <w:t>規制対象取引に関連して当社がブローカー・ディーラーとして受領する顧客資産に関しては、当社では一般的に貴社の同意があった場合のみに、アカウントレベル（貴社の当社に対する債務を参照）</w:t>
      </w:r>
      <w:r w:rsidR="001C2503" w:rsidRPr="000906F0">
        <w:rPr>
          <w:rFonts w:ascii="MS Mincho" w:eastAsia="MS Mincho" w:hAnsi="MS Mincho" w:hint="eastAsia"/>
        </w:rPr>
        <w:t>及び</w:t>
      </w:r>
      <w:r w:rsidRPr="000906F0">
        <w:rPr>
          <w:rFonts w:ascii="MS Mincho" w:eastAsia="MS Mincho" w:hAnsi="MS Mincho" w:hint="eastAsia"/>
        </w:rPr>
        <w:t>全顧客レベル（全顧客の当社に対する債務を参照）の両面で課される規制上の使用限度の範囲内のみでしかる顧客資産を使用できます。</w:t>
      </w:r>
      <w:r w:rsidRPr="000906F0">
        <w:rPr>
          <w:rFonts w:ascii="MS Mincho" w:eastAsia="MS Mincho" w:hAnsi="MS Mincho"/>
        </w:rPr>
        <w:t>SEC</w:t>
      </w:r>
      <w:r w:rsidRPr="000906F0">
        <w:rPr>
          <w:rFonts w:ascii="MS Mincho" w:eastAsia="MS Mincho" w:hAnsi="MS Mincho" w:hint="eastAsia"/>
        </w:rPr>
        <w:t>では、ブローカー・ディーラーが顧客資産（関連する顧客の債務を含む）の価値査定を毎日行うこと、および顧客資産またはキャッシュまたはその他のハイグレード資産を分離して維持し、いかなる時も分離された資産の価値がそのブローカー・ディーラーに対する顧客の債務を差し引いた全顧客資産の価値を超えるようにすることを義務づけています。さらに、分離した資産が顧客の請求に全額応じるために不十分であった場合は、顧客はブローカー・ディーラーの専有資産に対して引き続き請求権を保持します。</w:t>
      </w:r>
    </w:p>
    <w:p w:rsidR="00D72BF2" w:rsidRPr="000906F0" w:rsidRDefault="00D72BF2" w:rsidP="00D72BF2">
      <w:pPr>
        <w:rPr>
          <w:rFonts w:ascii="MS Mincho" w:eastAsia="MS Mincho" w:hAnsi="MS Mincho"/>
        </w:rPr>
      </w:pPr>
      <w:r w:rsidRPr="000906F0">
        <w:rPr>
          <w:rFonts w:ascii="MS Mincho" w:eastAsia="MS Mincho" w:hAnsi="MS Mincho" w:hint="eastAsia"/>
        </w:rPr>
        <w:t>証券金融取引規制第15条第2項</w:t>
      </w:r>
      <w:r w:rsidRPr="000906F0">
        <w:rPr>
          <w:rFonts w:ascii="MS Mincho" w:eastAsia="MS Mincho" w:hAnsi="MS Mincho"/>
        </w:rPr>
        <w:t>(b)</w:t>
      </w:r>
      <w:r w:rsidRPr="000906F0">
        <w:rPr>
          <w:rFonts w:ascii="MS Mincho" w:eastAsia="MS Mincho" w:hAnsi="MS Mincho" w:hint="eastAsia"/>
        </w:rPr>
        <w:t>の規定にかかわらず、貴社の顧客資産を当社が使用する場合、貴社のアカウント明細に引き続き記載し、顧客資産のステータスを反映し、当社が使用する金融商品を貴社に対して特定しないことがあります。</w:t>
      </w:r>
    </w:p>
    <w:p w:rsidR="00D72BF2" w:rsidRPr="000906F0" w:rsidRDefault="00D72BF2" w:rsidP="00D72BF2">
      <w:pPr>
        <w:rPr>
          <w:rFonts w:ascii="MS Mincho" w:eastAsia="MS Mincho" w:hAnsi="MS Mincho"/>
        </w:rPr>
      </w:pPr>
      <w:r w:rsidRPr="000906F0">
        <w:rPr>
          <w:rFonts w:ascii="MS Mincho" w:eastAsia="MS Mincho" w:hAnsi="MS Mincho" w:hint="eastAsia"/>
        </w:rPr>
        <w:t>当社がブローカー・ディーラーまたは</w:t>
      </w:r>
      <w:r w:rsidRPr="000906F0">
        <w:rPr>
          <w:rFonts w:ascii="MS Mincho" w:eastAsia="MS Mincho" w:hAnsi="MS Mincho"/>
        </w:rPr>
        <w:t>FCM</w:t>
      </w:r>
      <w:r w:rsidRPr="000906F0">
        <w:rPr>
          <w:rFonts w:ascii="MS Mincho" w:eastAsia="MS Mincho" w:hAnsi="MS Mincho" w:hint="eastAsia"/>
        </w:rPr>
        <w:t>であり、顧客資産を使用する権利を当社が行使した場合、当社が破産した場合には、その金融商品に対する貴社の所有持分の性質や、顧客としての貴社の権利に影響はありません。ブローカー・ディーラーまたは</w:t>
      </w:r>
      <w:r w:rsidRPr="000906F0">
        <w:rPr>
          <w:rFonts w:ascii="MS Mincho" w:eastAsia="MS Mincho" w:hAnsi="MS Mincho"/>
        </w:rPr>
        <w:t>FCM</w:t>
      </w:r>
      <w:r w:rsidRPr="000906F0">
        <w:rPr>
          <w:rFonts w:ascii="MS Mincho" w:eastAsia="MS Mincho" w:hAnsi="MS Mincho" w:hint="eastAsia"/>
        </w:rPr>
        <w:t>の破産手続きにおける顧客としての貴社の請求は、貴社のアカウントに保有されている資産の価値</w:t>
      </w:r>
      <w:r w:rsidR="001C2503" w:rsidRPr="000906F0">
        <w:rPr>
          <w:rFonts w:ascii="MS Mincho" w:eastAsia="MS Mincho" w:hAnsi="MS Mincho" w:hint="eastAsia"/>
        </w:rPr>
        <w:t>及び</w:t>
      </w:r>
      <w:r w:rsidRPr="000906F0">
        <w:rPr>
          <w:rFonts w:ascii="MS Mincho" w:eastAsia="MS Mincho" w:hAnsi="MS Mincho" w:hint="eastAsia"/>
        </w:rPr>
        <w:t>当社に対する貴社の債務（存在する場合）により算出されます。ブローカー・ディーラーまたは</w:t>
      </w:r>
      <w:r w:rsidRPr="000906F0">
        <w:rPr>
          <w:rFonts w:ascii="MS Mincho" w:eastAsia="MS Mincho" w:hAnsi="MS Mincho"/>
        </w:rPr>
        <w:t>FCM</w:t>
      </w:r>
      <w:r w:rsidRPr="000906F0">
        <w:rPr>
          <w:rFonts w:ascii="MS Mincho" w:eastAsia="MS Mincho" w:hAnsi="MS Mincho" w:hint="eastAsia"/>
        </w:rPr>
        <w:t>の破産手続きにおいては、一般的に、ブローカー・ディーラーまたは</w:t>
      </w:r>
      <w:r w:rsidRPr="000906F0">
        <w:rPr>
          <w:rFonts w:ascii="MS Mincho" w:eastAsia="MS Mincho" w:hAnsi="MS Mincho"/>
        </w:rPr>
        <w:t>FCM</w:t>
      </w:r>
      <w:r w:rsidRPr="000906F0">
        <w:rPr>
          <w:rFonts w:ascii="MS Mincho" w:eastAsia="MS Mincho" w:hAnsi="MS Mincho" w:hint="eastAsia"/>
        </w:rPr>
        <w:t>がその金融商品を使用できることになっていたかどうかまたは使用したかどうかにかかわらず、全顧客がその請求に対して顧客資産（および顧客キャッシュ）に基づき同一の比例案分を受け取ります（FCMの</w:t>
      </w:r>
      <w:r w:rsidRPr="000906F0">
        <w:rPr>
          <w:rFonts w:ascii="MS Mincho" w:eastAsia="MS Mincho" w:hAnsi="MS Mincho" w:hint="eastAsia"/>
        </w:rPr>
        <w:lastRenderedPageBreak/>
        <w:t>破綻の場合には、商品タイプによって顧客は数種のアカウントクラスに区分され、アカウントクラスによって回収金が異なる場合があります。同一のアカウントクラスの顧客は、そのクラス内のすべての顧客による請求と同一の比例案分を受け取ることになります</w:t>
      </w:r>
      <w:r w:rsidRPr="000906F0">
        <w:rPr>
          <w:rFonts w:ascii="MS Mincho" w:eastAsia="MS Mincho" w:hAnsi="MS Mincho"/>
        </w:rPr>
        <w:t>)</w:t>
      </w:r>
      <w:r w:rsidR="00CB62F8" w:rsidRPr="000906F0">
        <w:rPr>
          <w:rFonts w:ascii="MS Mincho" w:eastAsia="MS Mincho" w:hAnsi="MS Mincho"/>
        </w:rPr>
        <w:t>。</w:t>
      </w:r>
    </w:p>
    <w:p w:rsidR="00D72BF2" w:rsidRPr="000906F0" w:rsidRDefault="00D72BF2" w:rsidP="00D72BF2">
      <w:pPr>
        <w:rPr>
          <w:rFonts w:ascii="MS Mincho" w:eastAsia="MS Mincho" w:hAnsi="MS Mincho"/>
        </w:rPr>
      </w:pPr>
      <w:r w:rsidRPr="000906F0">
        <w:rPr>
          <w:rFonts w:ascii="MS Mincho" w:eastAsia="MS Mincho" w:hAnsi="MS Mincho" w:hint="eastAsia"/>
        </w:rPr>
        <w:t>米国銀行組織が破綻した場合は、一般的にカストディ資産が配分できる範囲内で、所有者に返却されます。当社による貴社の金融商品の使用に同意することにより、カストディ資産として扱われなくなる可能性があり、当社が破綻した場合にその返却を受ける権利に悪影響が及ぶ可能性があります。</w:t>
      </w:r>
    </w:p>
    <w:p w:rsidR="00D72BF2" w:rsidRPr="000906F0" w:rsidRDefault="00D72BF2" w:rsidP="00D72BF2">
      <w:pPr>
        <w:rPr>
          <w:rFonts w:ascii="MS Mincho" w:eastAsia="MS Mincho" w:hAnsi="MS Mincho"/>
        </w:rPr>
      </w:pPr>
      <w:r w:rsidRPr="000906F0">
        <w:rPr>
          <w:rFonts w:ascii="MS Mincho" w:eastAsia="MS Mincho" w:hAnsi="MS Mincho" w:hint="eastAsia"/>
        </w:rPr>
        <w:t>非顧客資産に対する担保契約には、様々な法律上の特徴があり、実務への影響も様々です。一般的に、譲渡担保契約では、金融商品の返却に対する債権者としての請求権のみが貴社に付与されます。証券担保契約では、一部の場合では担保として当社に受け渡した金融商品に対して貴社が所有持分を保持する場合がありますが、貴社の所有権（存在する場合）は、当社の債権者の権利や、当社がその金融商品を譲渡した譲渡先の権利によって優先される可能性があります。さらに、当社が破綻した場合、当社の他の資産から貴社の所有持分を区別して識別できない場合は貴社の所有持分が失われる可能性があり、貴社の金融商品を当社が使用した場合には、しかる識別能力に悪影響が及ぶ可能性があります。</w:t>
      </w:r>
    </w:p>
    <w:p w:rsidR="00D72BF2" w:rsidRPr="000906F0" w:rsidRDefault="00D72BF2" w:rsidP="00D72BF2">
      <w:pPr>
        <w:rPr>
          <w:rFonts w:ascii="MS Mincho" w:eastAsia="MS Mincho" w:hAnsi="MS Mincho"/>
        </w:rPr>
      </w:pPr>
      <w:r w:rsidRPr="000906F0">
        <w:rPr>
          <w:rFonts w:ascii="MS Mincho" w:eastAsia="MS Mincho" w:hAnsi="MS Mincho" w:hint="eastAsia"/>
        </w:rPr>
        <w:t>この付則は、米国の法律に準じる担保契約の取り扱いや米国の顧客保護制度を包括的に説明することを目的としていないため、そのような目的で依拠すべきではありません。</w:t>
      </w:r>
    </w:p>
    <w:p w:rsidR="00D72BF2" w:rsidRPr="000906F0" w:rsidRDefault="00D72BF2" w:rsidP="00D72BF2">
      <w:pPr>
        <w:rPr>
          <w:rFonts w:ascii="MS Mincho" w:eastAsia="MS Mincho" w:hAnsi="MS Mincho"/>
        </w:rPr>
      </w:pPr>
      <w:r w:rsidRPr="000906F0">
        <w:rPr>
          <w:rFonts w:ascii="MS Mincho" w:eastAsia="MS Mincho" w:hAnsi="MS Mincho" w:hint="eastAsia"/>
        </w:rPr>
        <w:t>当社が米国のブローカー・ディーラー、米国の</w:t>
      </w:r>
      <w:r w:rsidRPr="000906F0">
        <w:rPr>
          <w:rFonts w:ascii="MS Mincho" w:eastAsia="MS Mincho" w:hAnsi="MS Mincho"/>
        </w:rPr>
        <w:t>FCM</w:t>
      </w:r>
      <w:r w:rsidRPr="000906F0">
        <w:rPr>
          <w:rFonts w:ascii="MS Mincho" w:eastAsia="MS Mincho" w:hAnsi="MS Mincho" w:hint="eastAsia"/>
        </w:rPr>
        <w:t>または米国の銀行組織の場合は、情報開示書のセクション</w:t>
      </w:r>
      <w:r w:rsidRPr="000906F0">
        <w:rPr>
          <w:rFonts w:ascii="MS Mincho" w:eastAsia="MS Mincho" w:hAnsi="MS Mincho"/>
        </w:rPr>
        <w:t>2(a)(i)</w:t>
      </w:r>
      <w:r w:rsidRPr="000906F0">
        <w:rPr>
          <w:rFonts w:ascii="MS Mincho" w:eastAsia="MS Mincho" w:hAnsi="MS Mincho" w:hint="eastAsia"/>
        </w:rPr>
        <w:t>から</w:t>
      </w:r>
      <w:r w:rsidRPr="000906F0">
        <w:rPr>
          <w:rFonts w:ascii="MS Mincho" w:eastAsia="MS Mincho" w:hAnsi="MS Mincho"/>
        </w:rPr>
        <w:t>(v)</w:t>
      </w:r>
      <w:r w:rsidRPr="000906F0">
        <w:rPr>
          <w:rFonts w:ascii="MS Mincho" w:eastAsia="MS Mincho" w:hAnsi="MS Mincho" w:hint="eastAsia"/>
        </w:rPr>
        <w:t xml:space="preserve">は適用されません。その代わり、譲渡担保契約により貴社が当社に金融商品を提供する場合、または使用権を含む証券担保契約に基づいて担保として貴社が当社に提供する金融商品に関連する使用権を当社が行使する場合、以下の再使用リスクと結果にご留意ください。 </w:t>
      </w:r>
    </w:p>
    <w:p w:rsidR="00D72BF2" w:rsidRPr="000906F0" w:rsidRDefault="00D72BF2" w:rsidP="00D72BF2">
      <w:pPr>
        <w:pStyle w:val="Heading1"/>
        <w:rPr>
          <w:rFonts w:ascii="MS Mincho" w:eastAsia="MS Mincho" w:hAnsi="MS Mincho"/>
        </w:rPr>
      </w:pPr>
      <w:r w:rsidRPr="000906F0">
        <w:rPr>
          <w:rFonts w:ascii="MS Mincho" w:eastAsia="MS Mincho" w:hAnsi="MS Mincho" w:hint="eastAsia"/>
        </w:rPr>
        <w:t>顧客資産である金融商品に関連するリスク</w:t>
      </w:r>
    </w:p>
    <w:p w:rsidR="00D72BF2" w:rsidRPr="000906F0" w:rsidRDefault="00D72BF2" w:rsidP="00D72BF2">
      <w:pPr>
        <w:pStyle w:val="BodyText"/>
        <w:rPr>
          <w:rFonts w:ascii="MS Mincho" w:eastAsia="MS Mincho" w:hAnsi="MS Mincho"/>
        </w:rPr>
      </w:pPr>
      <w:r w:rsidRPr="000906F0">
        <w:rPr>
          <w:rFonts w:ascii="MS Mincho" w:eastAsia="MS Mincho" w:hAnsi="MS Mincho" w:hint="eastAsia"/>
        </w:rPr>
        <w:t>当社が米国のブローカー・ディーラーまたは</w:t>
      </w:r>
      <w:r w:rsidRPr="000906F0">
        <w:rPr>
          <w:rFonts w:ascii="MS Mincho" w:eastAsia="MS Mincho" w:hAnsi="MS Mincho"/>
        </w:rPr>
        <w:t>FCM</w:t>
      </w:r>
      <w:r w:rsidRPr="000906F0">
        <w:rPr>
          <w:rFonts w:ascii="MS Mincho" w:eastAsia="MS Mincho" w:hAnsi="MS Mincho" w:hint="eastAsia"/>
        </w:rPr>
        <w:t>であり、貴社の金融商品が顧客資産である場合、当社では以下の場合に貴社の金融商品を使用することが許可されています</w:t>
      </w:r>
      <w:r w:rsidRPr="000906F0">
        <w:rPr>
          <w:rFonts w:ascii="MS Mincho" w:eastAsia="MS Mincho" w:hAnsi="MS Mincho"/>
        </w:rPr>
        <w:t xml:space="preserve"> (i) </w:t>
      </w:r>
      <w:r w:rsidRPr="000906F0">
        <w:rPr>
          <w:rFonts w:ascii="MS Mincho" w:eastAsia="MS Mincho" w:hAnsi="MS Mincho" w:hint="eastAsia"/>
        </w:rPr>
        <w:t>CFTC規制対象商品で、清算機関またはその他の仲介機関にマージンとして提供する、</w:t>
      </w:r>
      <w:r w:rsidR="001C2503" w:rsidRPr="000906F0">
        <w:rPr>
          <w:rFonts w:ascii="MS Mincho" w:eastAsia="MS Mincho" w:hAnsi="MS Mincho" w:hint="eastAsia"/>
        </w:rPr>
        <w:t>及び</w:t>
      </w:r>
      <w:r w:rsidRPr="000906F0">
        <w:rPr>
          <w:rFonts w:ascii="MS Mincho" w:eastAsia="MS Mincho" w:hAnsi="MS Mincho"/>
        </w:rPr>
        <w:t xml:space="preserve"> (ii) </w:t>
      </w:r>
      <w:r w:rsidRPr="000906F0">
        <w:rPr>
          <w:rFonts w:ascii="MS Mincho" w:eastAsia="MS Mincho" w:hAnsi="MS Mincho" w:hint="eastAsia"/>
        </w:rPr>
        <w:t>米国の顧客保護規則によって課されている制約内で許可される範囲。当社が貴社の顧客資産を使用する場合、適用される米国の規制によっては</w:t>
      </w:r>
      <w:r w:rsidR="00CB62F8" w:rsidRPr="000906F0">
        <w:rPr>
          <w:rFonts w:ascii="MS Mincho" w:eastAsia="MS Mincho" w:hAnsi="MS Mincho"/>
        </w:rPr>
        <w:t>、</w:t>
      </w:r>
      <w:r w:rsidRPr="000906F0">
        <w:rPr>
          <w:rFonts w:ascii="MS Mincho" w:eastAsia="MS Mincho" w:hAnsi="MS Mincho" w:hint="eastAsia"/>
        </w:rPr>
        <w:t>当社はそれらを分離またはトラストで保有しない場合がありますが、貴社の</w:t>
      </w:r>
      <w:r w:rsidRPr="000906F0">
        <w:rPr>
          <w:rFonts w:ascii="MS Mincho" w:eastAsia="MS Mincho" w:hAnsi="MS Mincho" w:hint="eastAsia"/>
        </w:rPr>
        <w:lastRenderedPageBreak/>
        <w:t>アカウント明細で顧客資産としてのステータスを反映して引き続き報告します。貴社の顧客資産を当社が使用することにより、これらの資産は本情報開示書のセクション2(a)(vi)から(x)に記載されている「再使用リスク</w:t>
      </w:r>
      <w:r w:rsidR="0068064A" w:rsidRPr="0068064A">
        <w:rPr>
          <w:rFonts w:ascii="MS Mincho" w:eastAsia="MS Mincho" w:hAnsi="MS Mincho" w:hint="eastAsia"/>
        </w:rPr>
        <w:t>及</w:t>
      </w:r>
      <w:r w:rsidRPr="000906F0">
        <w:rPr>
          <w:rFonts w:ascii="MS Mincho" w:eastAsia="MS Mincho" w:hAnsi="MS Mincho" w:hint="eastAsia"/>
        </w:rPr>
        <w:t>び結果」の対象になります。さらに、当社が貴社に清算業務を提供する場合（清算参加者として直接提供する場合</w:t>
      </w:r>
      <w:r w:rsidR="001C2503" w:rsidRPr="000906F0">
        <w:rPr>
          <w:rFonts w:ascii="MS Mincho" w:eastAsia="MS Mincho" w:hAnsi="MS Mincho" w:hint="eastAsia"/>
        </w:rPr>
        <w:t>及び</w:t>
      </w:r>
      <w:r w:rsidRPr="000906F0">
        <w:rPr>
          <w:rFonts w:ascii="MS Mincho" w:eastAsia="MS Mincho" w:hAnsi="MS Mincho" w:hint="eastAsia"/>
        </w:rPr>
        <w:t>その他の場合にかかわらず）、顧客資産は情報開示書の2(b)条の「再使用リスク</w:t>
      </w:r>
      <w:r w:rsidR="0068064A" w:rsidRPr="0068064A">
        <w:rPr>
          <w:rFonts w:ascii="MS Mincho" w:eastAsia="MS Mincho" w:hAnsi="MS Mincho" w:hint="eastAsia"/>
        </w:rPr>
        <w:t>及</w:t>
      </w:r>
      <w:r w:rsidRPr="000906F0">
        <w:rPr>
          <w:rFonts w:ascii="MS Mincho" w:eastAsia="MS Mincho" w:hAnsi="MS Mincho" w:hint="eastAsia"/>
        </w:rPr>
        <w:t>び結果」の対象になります。</w:t>
      </w:r>
    </w:p>
    <w:p w:rsidR="00D72BF2" w:rsidRPr="000906F0" w:rsidRDefault="00D72BF2" w:rsidP="00D72BF2">
      <w:pPr>
        <w:pStyle w:val="BodyText"/>
        <w:rPr>
          <w:rFonts w:ascii="MS Mincho" w:eastAsia="MS Mincho" w:hAnsi="MS Mincho"/>
        </w:rPr>
      </w:pPr>
      <w:r w:rsidRPr="000906F0">
        <w:rPr>
          <w:rFonts w:ascii="MS Mincho" w:eastAsia="MS Mincho" w:hAnsi="MS Mincho" w:hint="eastAsia"/>
        </w:rPr>
        <w:t>さらに、当社がこれらの金融商品を使用した結果（一部の場合では、これらの金融商品に対する貴社に所有持分がなくなる場合を含みます）または、第三者が当社に金融商品を受け渡ししなかった結果、金融商品に付随する議決権、同意権やその他の権利を行使する権利を得られない場合があり、当社が貴社の指示に従ってその金融商品に付随する議決権、同意権またはその他の権利の行使に同意した場合であっても、または該当する担保契約で、当社が貴社に受け渡しする予定の同等の金融商品に付随する議決権、同意権または権利の行使の対象について貴社の指示を反映するよう貴社が当社に通知する権利が付与されている場合であっても、当社が同等の金融商品を保有しておらず、同等の金融商品を速やかに入手できない場合、当社はそれを遵守できない可能性があります（当事者間で同意するその他の解決策がある場合があります）。</w:t>
      </w:r>
    </w:p>
    <w:p w:rsidR="00D72BF2" w:rsidRPr="000906F0" w:rsidRDefault="00D72BF2" w:rsidP="00D72BF2">
      <w:pPr>
        <w:pStyle w:val="BodyText"/>
        <w:rPr>
          <w:rFonts w:ascii="MS Mincho" w:eastAsia="MS Mincho" w:hAnsi="MS Mincho"/>
        </w:rPr>
      </w:pPr>
      <w:r w:rsidRPr="000906F0">
        <w:rPr>
          <w:rFonts w:ascii="MS Mincho" w:eastAsia="MS Mincho" w:hAnsi="MS Mincho" w:hint="eastAsia"/>
        </w:rPr>
        <w:t>ただし、顧客資産を使用する当社の権利</w:t>
      </w:r>
      <w:r w:rsidR="001C2503" w:rsidRPr="000906F0">
        <w:rPr>
          <w:rFonts w:ascii="MS Mincho" w:eastAsia="MS Mincho" w:hAnsi="MS Mincho" w:hint="eastAsia"/>
        </w:rPr>
        <w:t>及び</w:t>
      </w:r>
      <w:r w:rsidRPr="000906F0">
        <w:rPr>
          <w:rFonts w:ascii="MS Mincho" w:eastAsia="MS Mincho" w:hAnsi="MS Mincho" w:hint="eastAsia"/>
        </w:rPr>
        <w:t xml:space="preserve">、顧客資産の当社による実際の使用によって、破産関係の再使用のリスクと結果は生じません。これは、上記の通り、当社が破綻した場合、顧客資産に対する貴社の請求は、当社による資産使用を考慮しない計算式によって計算されるためです。 </w:t>
      </w:r>
    </w:p>
    <w:p w:rsidR="00D72BF2" w:rsidRPr="000906F0" w:rsidRDefault="00D72BF2" w:rsidP="00D72BF2">
      <w:pPr>
        <w:pStyle w:val="BodyText"/>
        <w:rPr>
          <w:rFonts w:ascii="MS Mincho" w:eastAsia="MS Mincho" w:hAnsi="MS Mincho"/>
        </w:rPr>
      </w:pPr>
      <w:r w:rsidRPr="000906F0">
        <w:rPr>
          <w:rFonts w:ascii="MS Mincho" w:eastAsia="MS Mincho" w:hAnsi="MS Mincho" w:hint="eastAsia"/>
        </w:rPr>
        <w:t>当社に関連する破綻処理制度に基づいて破産管財人、保佐人、その他の破産関係の担当者がその権限を行使する場合、契約解消など、貴社が有する可能性がある当社に対して措置をとる権利は、該当する破綻処理機関によって停止の対象になる可能性があり、資産</w:t>
      </w:r>
      <w:r w:rsidR="001C2503" w:rsidRPr="000906F0">
        <w:rPr>
          <w:rFonts w:ascii="MS Mincho" w:eastAsia="MS Mincho" w:hAnsi="MS Mincho" w:hint="eastAsia"/>
        </w:rPr>
        <w:t>及び</w:t>
      </w:r>
      <w:r w:rsidRPr="000906F0">
        <w:rPr>
          <w:rFonts w:ascii="MS Mincho" w:eastAsia="MS Mincho" w:hAnsi="MS Mincho" w:hint="eastAsia"/>
        </w:rPr>
        <w:t>債務の譲渡により、貴社の当社に対する請求や当社の貴社に対する請求が別の組織に移転する可能性があります。ただし、このリスクは、当社が貴社の金融商品を使用したかどうか、または貴社がその使用に同意したかどうかにかかわらず存在します。</w:t>
      </w:r>
    </w:p>
    <w:p w:rsidR="00D72BF2" w:rsidRPr="000906F0" w:rsidRDefault="00D72BF2" w:rsidP="00D72BF2">
      <w:pPr>
        <w:pStyle w:val="Heading1"/>
        <w:rPr>
          <w:rFonts w:ascii="MS Mincho" w:eastAsia="MS Mincho" w:hAnsi="MS Mincho"/>
        </w:rPr>
      </w:pPr>
      <w:r w:rsidRPr="000906F0">
        <w:rPr>
          <w:rFonts w:ascii="MS Mincho" w:eastAsia="MS Mincho" w:hAnsi="MS Mincho" w:hint="eastAsia"/>
        </w:rPr>
        <w:t>非顧客資産である金融商品に関連するリスク</w:t>
      </w:r>
    </w:p>
    <w:p w:rsidR="00D72BF2" w:rsidRPr="000906F0" w:rsidRDefault="00D72BF2" w:rsidP="00D72BF2">
      <w:pPr>
        <w:pStyle w:val="BodyText"/>
        <w:rPr>
          <w:rFonts w:ascii="MS Mincho" w:eastAsia="MS Mincho" w:hAnsi="MS Mincho"/>
        </w:rPr>
      </w:pPr>
      <w:r w:rsidRPr="000906F0">
        <w:rPr>
          <w:rFonts w:ascii="MS Mincho" w:eastAsia="MS Mincho" w:hAnsi="MS Mincho" w:hint="eastAsia"/>
        </w:rPr>
        <w:t>非顧客資産は、顧客資産に適用される米国の顧客保護規則による保護の対象ではありません。当社が米国のブローカー・ディーラーまたは</w:t>
      </w:r>
      <w:r w:rsidRPr="000906F0">
        <w:rPr>
          <w:rFonts w:ascii="MS Mincho" w:eastAsia="MS Mincho" w:hAnsi="MS Mincho"/>
        </w:rPr>
        <w:t>FCM</w:t>
      </w:r>
      <w:r w:rsidRPr="000906F0">
        <w:rPr>
          <w:rFonts w:ascii="MS Mincho" w:eastAsia="MS Mincho" w:hAnsi="MS Mincho" w:hint="eastAsia"/>
        </w:rPr>
        <w:t>であり、貴社の金融商品が非顧客資産である場合、または当社が米国の銀行組織であり、貴社が貴社の金</w:t>
      </w:r>
      <w:r w:rsidRPr="000906F0">
        <w:rPr>
          <w:rFonts w:ascii="MS Mincho" w:eastAsia="MS Mincho" w:hAnsi="MS Mincho" w:hint="eastAsia"/>
        </w:rPr>
        <w:lastRenderedPageBreak/>
        <w:t>融商品を使用する権利を当社に付与した場合は、当社ではその金融商品を分離またはトラストの対象として保持しません。これらの金融商品に対して貴社が所有していた可能性がある貴社の所有権を含め、貴社の権利は、該当する担保契約の条項に則って、同等の金融商品の受け渡しに対する契約上の請求権（別途同意がない限り無担保になります）によって置換される可能性があります。貴社の非顧客資産を当社が使用することにより、これらの資産は本情報開示書のセクション2(a)(vi)から(x)に記載されている「再使用リスク</w:t>
      </w:r>
      <w:r w:rsidR="000906F0" w:rsidRPr="000906F0">
        <w:rPr>
          <w:rFonts w:ascii="MS Mincho" w:eastAsia="MS Mincho" w:hAnsi="MS Mincho" w:hint="eastAsia"/>
        </w:rPr>
        <w:t>及</w:t>
      </w:r>
      <w:r w:rsidRPr="000906F0">
        <w:rPr>
          <w:rFonts w:ascii="MS Mincho" w:eastAsia="MS Mincho" w:hAnsi="MS Mincho" w:hint="eastAsia"/>
        </w:rPr>
        <w:t>び結果」の対象になります。</w:t>
      </w:r>
    </w:p>
    <w:p w:rsidR="00D72BF2" w:rsidRPr="000906F0" w:rsidRDefault="00D72BF2" w:rsidP="00D72BF2">
      <w:pPr>
        <w:pStyle w:val="BodyText"/>
        <w:rPr>
          <w:rFonts w:ascii="MS Mincho" w:eastAsia="MS Mincho" w:hAnsi="MS Mincho"/>
        </w:rPr>
      </w:pPr>
      <w:r w:rsidRPr="000906F0">
        <w:rPr>
          <w:rFonts w:ascii="MS Mincho" w:eastAsia="MS Mincho" w:hAnsi="MS Mincho" w:hint="eastAsia"/>
        </w:rPr>
        <w:t xml:space="preserve">当社が米国の銀行組織である場合、当社による貴社の金融商品の使用に貴社が同意する結果、当社はこれらの金融商品をカストディ資産に適用される規則に準じて保有しない可能性があります。また、これらの金融商品が過去にカストディ資産として保護の対象になっていた場合は、これらの保護権が適用されなくなる可能性があります（例えば、これらの金融商品が当社の資産から分離されなくなり、トラストの対象として保有されなくなります）。 </w:t>
      </w:r>
    </w:p>
    <w:p w:rsidR="00D72BF2" w:rsidRPr="000906F0" w:rsidRDefault="00D72BF2" w:rsidP="00D72BF2">
      <w:pPr>
        <w:pStyle w:val="BodyText"/>
        <w:rPr>
          <w:rFonts w:ascii="MS Mincho" w:eastAsia="MS Mincho" w:hAnsi="MS Mincho"/>
        </w:rPr>
      </w:pPr>
      <w:r w:rsidRPr="000906F0">
        <w:rPr>
          <w:rFonts w:ascii="MS Mincho" w:eastAsia="MS Mincho" w:hAnsi="MS Mincho" w:hint="eastAsia"/>
        </w:rPr>
        <w:t>さらに、当社が金融商品を使用した結果（一部の場合では、これらの金融商品に対する貴社の所有持分がなくなる場合を含みます）または、第三者が当社に金融商品を受け渡ししなかった結果、金融商品に付随する議決権、同意権やその他の権利を行使する権利を得られなくなる場合があり、当社が貴社の指示に従ってその金融商品に付随する議決権、同意権または同様の権利の行使に同意した場合であっても、または該当する担保契約で、当社が貴社に受け渡しする予定の同等の金融商品に付随する議決権、同意権または権利の行使の対象について貴社の指示を反映するよう貴社が当社に通知する権利が付与されている場合であっても、当社が同等の金融商品を保有しておらず、同等の金融商品を速やかに入手できない場合、当社はそれを遵守できない可能性があります（当事者間で同意されたその他の解決策がある場合があります）。</w:t>
      </w:r>
    </w:p>
    <w:p w:rsidR="00D72BF2" w:rsidRPr="000906F0" w:rsidRDefault="00D72BF2" w:rsidP="00D72BF2">
      <w:pPr>
        <w:pStyle w:val="BodyText"/>
        <w:rPr>
          <w:rFonts w:ascii="MS Mincho" w:eastAsia="MS Mincho" w:hAnsi="MS Mincho"/>
        </w:rPr>
      </w:pPr>
      <w:r w:rsidRPr="000906F0">
        <w:rPr>
          <w:rFonts w:ascii="MS Mincho" w:eastAsia="MS Mincho" w:hAnsi="MS Mincho" w:hint="eastAsia"/>
        </w:rPr>
        <w:t>当社が破綻する場合、当社が使用した金融商品に対する貴社の権利は、同等の金融商品またはそれらの金融商品の価値についての当社に対する一般的な請求権（別途同意がない限り無担保になります）に置換される可能性があります。また、貴社がしかる同等の金融商品を受け取ることができないあるいは貴社がしかる金融商品の価値の全額を回収できない場合があります（ただし、貴社が当社に同等の金融商品を提供する義務を参照することにより、当社が貴社に担保を提供している場合、または相殺または差し引き可能な当社に対する貴社の債務がある場合、貴社のエクスポージャーが削減される可能性はあります）。当社が使用した金融資産に対して貴社が所有持分を保持する範囲において、当社が金融商品を使用したことで他の当事</w:t>
      </w:r>
      <w:r w:rsidRPr="000906F0">
        <w:rPr>
          <w:rFonts w:ascii="MS Mincho" w:eastAsia="MS Mincho" w:hAnsi="MS Mincho" w:hint="eastAsia"/>
        </w:rPr>
        <w:lastRenderedPageBreak/>
        <w:t xml:space="preserve">者がそれに対する優先権を取得する可能性があり、また、その返却を受けるためにその金融商品を特定する貴社の能力に影響する可能性もあります。 </w:t>
      </w:r>
    </w:p>
    <w:p w:rsidR="00D72BF2" w:rsidRPr="000906F0" w:rsidRDefault="00D72BF2" w:rsidP="00D9389E">
      <w:pPr>
        <w:pStyle w:val="BodyText"/>
        <w:rPr>
          <w:rFonts w:ascii="MS Mincho" w:eastAsia="MS Mincho" w:hAnsi="MS Mincho" w:cs="Times New Roman"/>
        </w:rPr>
      </w:pPr>
      <w:r w:rsidRPr="000906F0">
        <w:rPr>
          <w:rFonts w:ascii="MS Mincho" w:eastAsia="MS Mincho" w:hAnsi="MS Mincho" w:hint="eastAsia"/>
        </w:rPr>
        <w:t>当社に関連する破綻処理制度に基づいて破産管財人、保佐人、その他の破産関係の担当者がその権限を行使する場合、契約解消など、貴社が有する可能性がある当社に対して措置をとる権利は、該当する破綻処理機関によって停止の対象になる可能性があり、資産</w:t>
      </w:r>
      <w:r w:rsidR="001C2503" w:rsidRPr="000906F0">
        <w:rPr>
          <w:rFonts w:ascii="MS Mincho" w:eastAsia="MS Mincho" w:hAnsi="MS Mincho" w:hint="eastAsia"/>
        </w:rPr>
        <w:t>及び</w:t>
      </w:r>
      <w:r w:rsidRPr="000906F0">
        <w:rPr>
          <w:rFonts w:ascii="MS Mincho" w:eastAsia="MS Mincho" w:hAnsi="MS Mincho" w:hint="eastAsia"/>
        </w:rPr>
        <w:t>債務の譲渡により、貴社の当社に対する請求や当社の貴社に対する請求が別の組織に移転する可能性があります。ただし、このリスクは、当社が貴社の金融商品を使用したかどうか、または貴社がその使用に同意したかどうかにかかわらず存在します。</w:t>
      </w:r>
    </w:p>
    <w:sectPr w:rsidR="00D72BF2" w:rsidRPr="000906F0" w:rsidSect="00737DB8">
      <w:footerReference w:type="default" r:id="rId8"/>
      <w:headerReference w:type="first" r:id="rId9"/>
      <w:footerReference w:type="first" r:id="rId10"/>
      <w:pgSz w:w="11906" w:h="16838" w:code="9"/>
      <w:pgMar w:top="1440" w:right="1440" w:bottom="1985" w:left="1440" w:header="851" w:footer="34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060D" w:rsidRDefault="00ED060D" w:rsidP="006A68DF">
      <w:pPr>
        <w:spacing w:after="0" w:line="240" w:lineRule="auto"/>
      </w:pPr>
      <w:r>
        <w:separator/>
      </w:r>
    </w:p>
  </w:endnote>
  <w:endnote w:type="continuationSeparator" w:id="0">
    <w:p w:rsidR="00ED060D" w:rsidRDefault="00ED060D" w:rsidP="006A68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Look w:val="0000"/>
    </w:tblPr>
    <w:tblGrid>
      <w:gridCol w:w="3080"/>
      <w:gridCol w:w="3081"/>
      <w:gridCol w:w="3081"/>
    </w:tblGrid>
    <w:tr w:rsidR="00113FB4" w:rsidTr="0072483A">
      <w:tc>
        <w:tcPr>
          <w:tcW w:w="1666" w:type="pct"/>
        </w:tcPr>
        <w:p w:rsidR="00113FB4" w:rsidRDefault="00113FB4" w:rsidP="00B77ABD">
          <w:pPr>
            <w:pStyle w:val="Footer"/>
          </w:pPr>
        </w:p>
      </w:tc>
      <w:tc>
        <w:tcPr>
          <w:tcW w:w="1667" w:type="pct"/>
        </w:tcPr>
        <w:p w:rsidR="00113FB4" w:rsidRPr="0072483A" w:rsidRDefault="00113FB4" w:rsidP="0072483A">
          <w:pPr>
            <w:pStyle w:val="Footer"/>
            <w:jc w:val="center"/>
            <w:rPr>
              <w:rStyle w:val="PageNumber"/>
            </w:rPr>
          </w:pPr>
          <w:r>
            <w:rPr>
              <w:rStyle w:val="PageNumber"/>
            </w:rPr>
            <w:t xml:space="preserve">- </w:t>
          </w:r>
          <w:r w:rsidR="00546D84">
            <w:rPr>
              <w:rStyle w:val="PageNumber"/>
            </w:rPr>
            <w:fldChar w:fldCharType="begin"/>
          </w:r>
          <w:r>
            <w:rPr>
              <w:rStyle w:val="PageNumber"/>
            </w:rPr>
            <w:instrText xml:space="preserve"> PAGE  \* MERGEFORMAT </w:instrText>
          </w:r>
          <w:r w:rsidR="00546D84">
            <w:rPr>
              <w:rStyle w:val="PageNumber"/>
            </w:rPr>
            <w:fldChar w:fldCharType="separate"/>
          </w:r>
          <w:r w:rsidR="00FB0D7E">
            <w:rPr>
              <w:rStyle w:val="PageNumber"/>
              <w:noProof/>
            </w:rPr>
            <w:t>15</w:t>
          </w:r>
          <w:r w:rsidR="00546D84">
            <w:rPr>
              <w:rStyle w:val="PageNumber"/>
            </w:rPr>
            <w:fldChar w:fldCharType="end"/>
          </w:r>
          <w:r>
            <w:rPr>
              <w:rStyle w:val="PageNumber"/>
            </w:rPr>
            <w:t xml:space="preserve"> -</w:t>
          </w:r>
        </w:p>
      </w:tc>
      <w:tc>
        <w:tcPr>
          <w:tcW w:w="1667" w:type="pct"/>
        </w:tcPr>
        <w:p w:rsidR="00113FB4" w:rsidRDefault="00113FB4" w:rsidP="0072483A">
          <w:pPr>
            <w:pStyle w:val="FooterRight"/>
          </w:pPr>
        </w:p>
      </w:tc>
    </w:tr>
  </w:tbl>
  <w:p w:rsidR="00A270E1" w:rsidRDefault="00A270E1" w:rsidP="00A270E1">
    <w:pPr>
      <w:pStyle w:val="AONormal8L"/>
      <w:jc w:val="center"/>
    </w:pPr>
  </w:p>
  <w:p w:rsidR="00113FB4" w:rsidRDefault="00661BD1">
    <w:pPr>
      <w:pStyle w:val="Footer"/>
    </w:pPr>
    <w:r>
      <w:rPr>
        <w:rFonts w:ascii="Arial" w:hAnsi="Arial"/>
      </w:rPr>
      <w:t>Copyright © 2016 by the International Swaps and Derivatives Association, Inc., the Association for Financial Markets in Europe, the Futures Industry Association, Inc., the International Capital Market Association, the International Securities Lending Association and SIFMA.International Swaps and Derivatives Association, Inc.</w:t>
    </w:r>
    <w:r>
      <w:rPr>
        <w:rFonts w:ascii="Arial" w:hAnsi="Arial"/>
      </w:rPr>
      <w:t>、</w:t>
    </w:r>
    <w:r>
      <w:t>Association for Financial Markets in Europe</w:t>
    </w:r>
    <w:r>
      <w:t>、</w:t>
    </w:r>
    <w:r>
      <w:t>Futures Industry Association, Inc.</w:t>
    </w:r>
    <w:r>
      <w:t>、</w:t>
    </w:r>
    <w:r>
      <w:t>International Capital Market Association</w:t>
    </w:r>
    <w:r>
      <w:t>、</w:t>
    </w:r>
    <w:r>
      <w:t>International Securities Lending Association</w:t>
    </w:r>
    <w:r>
      <w:t>、</w:t>
    </w:r>
    <w:r>
      <w:t>SIFMA</w:t>
    </w:r>
    <w:r w:rsidRPr="000906F0">
      <w:rPr>
        <w:rFonts w:ascii="MS Mincho" w:eastAsia="MS Mincho" w:hAnsi="MS Mincho" w:hint="eastAsia"/>
      </w:rPr>
      <w:t>はいずれも本書の改訂を一切確認または是認していません。</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5304" w:rsidRPr="00A05304" w:rsidRDefault="00A05304">
    <w:pPr>
      <w:pStyle w:val="Footer"/>
      <w:jc w:val="center"/>
      <w:rPr>
        <w:caps/>
        <w:noProof/>
        <w:sz w:val="24"/>
        <w:szCs w:val="24"/>
      </w:rPr>
    </w:pPr>
    <w:r>
      <w:rPr>
        <w:caps/>
        <w:noProof/>
        <w:sz w:val="24"/>
      </w:rPr>
      <w:t>-1-</w:t>
    </w:r>
  </w:p>
  <w:p w:rsidR="00A05304" w:rsidRDefault="00A05304">
    <w:pPr>
      <w:pStyle w:val="Footer"/>
      <w:jc w:val="center"/>
      <w:rPr>
        <w:caps/>
        <w:noProof/>
        <w:color w:val="4F81BD" w:themeColor="accent1"/>
      </w:rPr>
    </w:pPr>
  </w:p>
  <w:p w:rsidR="00113FB4" w:rsidRDefault="00661BD1">
    <w:pPr>
      <w:pStyle w:val="Footer"/>
    </w:pPr>
    <w:r>
      <w:rPr>
        <w:rFonts w:ascii="Arial" w:hAnsi="Arial"/>
      </w:rPr>
      <w:t>Copyright © 2016 by the International Swaps and Derivatives Association, Inc., the Association for Financial Markets in Europe, the Futures Industry Association, Inc., the International Capital Market Association, the International Securities Lending Association and SIFMA.International Swaps and Derivatives Association, Inc.</w:t>
    </w:r>
    <w:r>
      <w:rPr>
        <w:rFonts w:ascii="Arial" w:hAnsi="Arial"/>
      </w:rPr>
      <w:t>、</w:t>
    </w:r>
    <w:r>
      <w:t>Association for Financial Markets in Europe</w:t>
    </w:r>
    <w:r>
      <w:t>、</w:t>
    </w:r>
    <w:r>
      <w:t>Futures Industry Association, Inc.</w:t>
    </w:r>
    <w:r>
      <w:t>、</w:t>
    </w:r>
    <w:r>
      <w:t>International Capital Market Association</w:t>
    </w:r>
    <w:r>
      <w:t>、</w:t>
    </w:r>
    <w:r>
      <w:t>International Securities Lending Association</w:t>
    </w:r>
    <w:r>
      <w:t>、</w:t>
    </w:r>
    <w:r>
      <w:t>SIFMA</w:t>
    </w:r>
    <w:r>
      <w:t>はいずれも、本書の改訂を一切確認･是認していません。</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060D" w:rsidRDefault="00ED060D" w:rsidP="006A68DF">
      <w:pPr>
        <w:spacing w:after="0" w:line="240" w:lineRule="auto"/>
      </w:pPr>
      <w:r>
        <w:separator/>
      </w:r>
    </w:p>
  </w:footnote>
  <w:footnote w:type="continuationSeparator" w:id="0">
    <w:p w:rsidR="00ED060D" w:rsidRDefault="00ED060D" w:rsidP="006A68DF">
      <w:pPr>
        <w:spacing w:after="0" w:line="240" w:lineRule="auto"/>
      </w:pPr>
      <w:r>
        <w:continuationSeparator/>
      </w:r>
    </w:p>
  </w:footnote>
  <w:footnote w:id="1">
    <w:p w:rsidR="00113FB4" w:rsidRPr="000906F0" w:rsidRDefault="00113FB4">
      <w:pPr>
        <w:pStyle w:val="FootnoteText"/>
        <w:rPr>
          <w:rFonts w:ascii="MS Mincho" w:eastAsia="MS Mincho" w:hAnsi="MS Mincho"/>
        </w:rPr>
      </w:pPr>
      <w:r w:rsidRPr="000906F0">
        <w:rPr>
          <w:rStyle w:val="FootnoteReference"/>
          <w:rFonts w:ascii="MS Mincho" w:eastAsia="MS Mincho" w:hAnsi="MS Mincho"/>
        </w:rPr>
        <w:footnoteRef/>
      </w:r>
      <w:r w:rsidRPr="000906F0">
        <w:rPr>
          <w:rFonts w:ascii="MS Mincho" w:eastAsia="MS Mincho" w:hAnsi="MS Mincho" w:hint="eastAsia"/>
        </w:rPr>
        <w:t xml:space="preserve"> 注記：担保契約に関連して他の開示をしている企業（EMIR第39条に基づく開示など）は、本契約においてそれらの開示を参照することができます。</w:t>
      </w:r>
    </w:p>
  </w:footnote>
  <w:footnote w:id="2">
    <w:p w:rsidR="00113FB4" w:rsidRPr="000906F0" w:rsidRDefault="00113FB4">
      <w:pPr>
        <w:pStyle w:val="FootnoteText"/>
        <w:rPr>
          <w:rFonts w:ascii="MS Mincho" w:eastAsia="MS Mincho" w:hAnsi="MS Mincho"/>
        </w:rPr>
      </w:pPr>
      <w:r w:rsidRPr="000906F0">
        <w:rPr>
          <w:rStyle w:val="FootnoteReference"/>
          <w:rFonts w:ascii="MS Mincho" w:eastAsia="MS Mincho" w:hAnsi="MS Mincho"/>
        </w:rPr>
        <w:footnoteRef/>
      </w:r>
      <w:r w:rsidRPr="000906F0">
        <w:rPr>
          <w:rFonts w:ascii="MS Mincho" w:eastAsia="MS Mincho" w:hAnsi="MS Mincho" w:hint="eastAsia"/>
        </w:rPr>
        <w:t xml:space="preserve"> 注記：開示文書が契約の付録として含まれる場合は、定義されている用語を変更する必要があります。</w:t>
      </w:r>
    </w:p>
  </w:footnote>
  <w:footnote w:id="3">
    <w:p w:rsidR="0074015E" w:rsidRPr="000906F0" w:rsidRDefault="0074015E">
      <w:pPr>
        <w:pStyle w:val="FootnoteText"/>
        <w:rPr>
          <w:rFonts w:ascii="MS Mincho" w:eastAsia="MS Mincho" w:hAnsi="MS Mincho"/>
          <w:lang w:val="en-US"/>
        </w:rPr>
      </w:pPr>
      <w:r w:rsidRPr="000906F0">
        <w:rPr>
          <w:rStyle w:val="FootnoteReference"/>
          <w:rFonts w:ascii="MS Mincho" w:eastAsia="MS Mincho" w:hAnsi="MS Mincho"/>
        </w:rPr>
        <w:footnoteRef/>
      </w:r>
      <w:r w:rsidRPr="000906F0">
        <w:rPr>
          <w:rFonts w:ascii="MS Mincho" w:eastAsia="MS Mincho" w:hAnsi="MS Mincho"/>
        </w:rPr>
        <w:t xml:space="preserve"> </w:t>
      </w:r>
      <w:r w:rsidRPr="000906F0">
        <w:rPr>
          <w:rFonts w:ascii="MS Mincho" w:eastAsia="MS Mincho" w:hAnsi="MS Mincho" w:hint="eastAsia"/>
        </w:rPr>
        <w:t>上記の通り、付記</w:t>
      </w:r>
      <w:r w:rsidRPr="000906F0">
        <w:rPr>
          <w:rFonts w:ascii="MS Mincho" w:eastAsia="MS Mincho" w:hAnsi="MS Mincho"/>
        </w:rPr>
        <w:t>3</w:t>
      </w:r>
      <w:r w:rsidRPr="000906F0">
        <w:rPr>
          <w:rFonts w:ascii="MS Mincho" w:eastAsia="MS Mincho" w:hAnsi="MS Mincho" w:hint="eastAsia"/>
        </w:rPr>
        <w:t>には米国のブローカー・ディーラー、米国の先物取次業者、もしくは米国の銀行または米国外の銀行の米国支店または代理店による金融商品の再使用に関連して発生する可能性のあるリスクや結果が記載されています。</w:t>
      </w:r>
    </w:p>
  </w:footnote>
  <w:footnote w:id="4">
    <w:p w:rsidR="00D068DF" w:rsidRPr="000906F0" w:rsidRDefault="00D068DF">
      <w:pPr>
        <w:pStyle w:val="FootnoteText"/>
        <w:rPr>
          <w:rFonts w:ascii="MS Mincho" w:eastAsia="MS Mincho" w:hAnsi="MS Mincho"/>
        </w:rPr>
      </w:pPr>
      <w:r w:rsidRPr="000906F0">
        <w:rPr>
          <w:rStyle w:val="FootnoteReference"/>
          <w:rFonts w:ascii="MS Mincho" w:eastAsia="MS Mincho" w:hAnsi="MS Mincho"/>
        </w:rPr>
        <w:footnoteRef/>
      </w:r>
      <w:r w:rsidRPr="000906F0">
        <w:rPr>
          <w:rFonts w:ascii="MS Mincho" w:eastAsia="MS Mincho" w:hAnsi="MS Mincho" w:hint="eastAsia"/>
        </w:rPr>
        <w:t xml:space="preserve"> 注記：これらのリスクについて別途開示した企業（EMIR第39条に基づく開示など）では、その開示に言及するか、またはその開示の掲載場所を示すことができます。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135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180"/>
      <w:gridCol w:w="1179"/>
      <w:gridCol w:w="272"/>
      <w:gridCol w:w="2908"/>
    </w:tblGrid>
    <w:tr w:rsidR="001A4F96" w:rsidTr="00DF3DDC">
      <w:trPr>
        <w:trHeight w:val="1627"/>
      </w:trPr>
      <w:tc>
        <w:tcPr>
          <w:tcW w:w="10359" w:type="dxa"/>
          <w:gridSpan w:val="2"/>
          <w:vAlign w:val="center"/>
        </w:tcPr>
        <w:p w:rsidR="00DF3DDC" w:rsidRDefault="00DF3DDC" w:rsidP="00E954BA">
          <w:pPr>
            <w:pStyle w:val="Header"/>
            <w:jc w:val="left"/>
          </w:pPr>
          <w:r>
            <w:rPr>
              <w:noProof/>
              <w:lang w:val="en-US" w:eastAsia="en-US" w:bidi="ar-SA"/>
            </w:rPr>
            <w:drawing>
              <wp:inline distT="0" distB="0" distL="0" distR="0">
                <wp:extent cx="1562100" cy="609600"/>
                <wp:effectExtent l="19050" t="0" r="0" b="0"/>
                <wp:docPr id="33" name="Picture 33" descr="AFME_rgb_high_CW_crop"/>
                <wp:cNvGraphicFramePr/>
                <a:graphic xmlns:a="http://schemas.openxmlformats.org/drawingml/2006/main">
                  <a:graphicData uri="http://schemas.openxmlformats.org/drawingml/2006/picture">
                    <pic:pic xmlns:pic="http://schemas.openxmlformats.org/drawingml/2006/picture">
                      <pic:nvPicPr>
                        <pic:cNvPr id="1038" name="Picture 14" descr="AFME_rgb_high_CW_crop"/>
                        <pic:cNvPicPr>
                          <a:picLocks noChangeAspect="1" noChangeArrowheads="1"/>
                        </pic:cNvPicPr>
                      </pic:nvPicPr>
                      <pic:blipFill>
                        <a:blip r:embed="rId1"/>
                        <a:srcRect/>
                        <a:stretch>
                          <a:fillRect/>
                        </a:stretch>
                      </pic:blipFill>
                      <pic:spPr bwMode="auto">
                        <a:xfrm>
                          <a:off x="0" y="0"/>
                          <a:ext cx="1562100" cy="609600"/>
                        </a:xfrm>
                        <a:prstGeom prst="rect">
                          <a:avLst/>
                        </a:prstGeom>
                        <a:noFill/>
                      </pic:spPr>
                    </pic:pic>
                  </a:graphicData>
                </a:graphic>
              </wp:inline>
            </w:drawing>
          </w:r>
          <w:r>
            <w:t xml:space="preserve">     </w:t>
          </w:r>
          <w:r>
            <w:rPr>
              <w:noProof/>
              <w:lang w:val="en-US" w:eastAsia="en-US" w:bidi="ar-SA"/>
            </w:rPr>
            <w:drawing>
              <wp:inline distT="0" distB="0" distL="0" distR="0">
                <wp:extent cx="1428750" cy="723900"/>
                <wp:effectExtent l="19050" t="0" r="0" b="0"/>
                <wp:docPr id="34" name="Picture 34"/>
                <wp:cNvGraphicFramePr/>
                <a:graphic xmlns:a="http://schemas.openxmlformats.org/drawingml/2006/main">
                  <a:graphicData uri="http://schemas.openxmlformats.org/drawingml/2006/picture">
                    <pic:pic xmlns:pic="http://schemas.openxmlformats.org/drawingml/2006/picture">
                      <pic:nvPicPr>
                        <pic:cNvPr id="1037" name="Picture 6"/>
                        <pic:cNvPicPr>
                          <a:picLocks noChangeAspect="1" noChangeArrowheads="1"/>
                        </pic:cNvPicPr>
                      </pic:nvPicPr>
                      <pic:blipFill>
                        <a:blip r:embed="rId2"/>
                        <a:srcRect/>
                        <a:stretch>
                          <a:fillRect/>
                        </a:stretch>
                      </pic:blipFill>
                      <pic:spPr bwMode="auto">
                        <a:xfrm>
                          <a:off x="0" y="0"/>
                          <a:ext cx="1428750" cy="723900"/>
                        </a:xfrm>
                        <a:prstGeom prst="rect">
                          <a:avLst/>
                        </a:prstGeom>
                        <a:noFill/>
                      </pic:spPr>
                    </pic:pic>
                  </a:graphicData>
                </a:graphic>
              </wp:inline>
            </w:drawing>
          </w:r>
          <w:r>
            <w:t xml:space="preserve">        </w:t>
          </w:r>
          <w:r>
            <w:rPr>
              <w:noProof/>
              <w:lang w:val="en-US" w:eastAsia="en-US" w:bidi="ar-SA"/>
            </w:rPr>
            <w:drawing>
              <wp:inline distT="0" distB="0" distL="0" distR="0">
                <wp:extent cx="1512168" cy="902146"/>
                <wp:effectExtent l="19050" t="0" r="0" b="0"/>
                <wp:docPr id="35" name="Picture 35"/>
                <wp:cNvGraphicFramePr/>
                <a:graphic xmlns:a="http://schemas.openxmlformats.org/drawingml/2006/main">
                  <a:graphicData uri="http://schemas.openxmlformats.org/drawingml/2006/picture">
                    <pic:pic xmlns:pic="http://schemas.openxmlformats.org/drawingml/2006/picture">
                      <pic:nvPicPr>
                        <pic:cNvPr id="1036" name="Picture 8"/>
                        <pic:cNvPicPr>
                          <a:picLocks noChangeAspect="1" noChangeArrowheads="1"/>
                        </pic:cNvPicPr>
                      </pic:nvPicPr>
                      <pic:blipFill>
                        <a:blip r:embed="rId3"/>
                        <a:srcRect/>
                        <a:stretch>
                          <a:fillRect/>
                        </a:stretch>
                      </pic:blipFill>
                      <pic:spPr bwMode="auto">
                        <a:xfrm>
                          <a:off x="0" y="0"/>
                          <a:ext cx="1512168" cy="902146"/>
                        </a:xfrm>
                        <a:prstGeom prst="rect">
                          <a:avLst/>
                        </a:prstGeom>
                        <a:noFill/>
                      </pic:spPr>
                    </pic:pic>
                  </a:graphicData>
                </a:graphic>
              </wp:inline>
            </w:drawing>
          </w:r>
        </w:p>
        <w:p w:rsidR="001A4F96" w:rsidRDefault="00DF3DDC" w:rsidP="00E954BA">
          <w:pPr>
            <w:pStyle w:val="Header"/>
            <w:jc w:val="left"/>
          </w:pPr>
          <w:r>
            <w:rPr>
              <w:noProof/>
              <w:lang w:val="en-US" w:eastAsia="en-US" w:bidi="ar-SA"/>
            </w:rPr>
            <w:drawing>
              <wp:inline distT="0" distB="0" distL="0" distR="0">
                <wp:extent cx="1509142" cy="372740"/>
                <wp:effectExtent l="19050" t="0" r="0" b="0"/>
                <wp:docPr id="36" name="Picture 36" descr="ISDA, International Swaps and Derivatives Association"/>
                <wp:cNvGraphicFramePr/>
                <a:graphic xmlns:a="http://schemas.openxmlformats.org/drawingml/2006/main">
                  <a:graphicData uri="http://schemas.openxmlformats.org/drawingml/2006/picture">
                    <pic:pic xmlns:pic="http://schemas.openxmlformats.org/drawingml/2006/picture">
                      <pic:nvPicPr>
                        <pic:cNvPr id="1035" name="Picture 9" descr="ISDA, International Swaps and Derivatives Association"/>
                        <pic:cNvPicPr>
                          <a:picLocks noChangeAspect="1" noChangeArrowheads="1"/>
                        </pic:cNvPicPr>
                      </pic:nvPicPr>
                      <pic:blipFill>
                        <a:blip r:embed="rId4"/>
                        <a:srcRect/>
                        <a:stretch>
                          <a:fillRect/>
                        </a:stretch>
                      </pic:blipFill>
                      <pic:spPr bwMode="auto">
                        <a:xfrm>
                          <a:off x="0" y="0"/>
                          <a:ext cx="1509142" cy="372740"/>
                        </a:xfrm>
                        <a:prstGeom prst="rect">
                          <a:avLst/>
                        </a:prstGeom>
                        <a:noFill/>
                      </pic:spPr>
                    </pic:pic>
                  </a:graphicData>
                </a:graphic>
              </wp:inline>
            </w:drawing>
          </w:r>
          <w:r>
            <w:t xml:space="preserve"> </w:t>
          </w:r>
          <w:r>
            <w:rPr>
              <w:noProof/>
              <w:lang w:val="en-US" w:eastAsia="en-US" w:bidi="ar-SA"/>
            </w:rPr>
            <w:drawing>
              <wp:inline distT="0" distB="0" distL="0" distR="0">
                <wp:extent cx="2019300" cy="504825"/>
                <wp:effectExtent l="19050" t="0" r="0" b="0"/>
                <wp:docPr id="37" name="Picture 37" descr="Corporatelonglogo"/>
                <wp:cNvGraphicFramePr/>
                <a:graphic xmlns:a="http://schemas.openxmlformats.org/drawingml/2006/main">
                  <a:graphicData uri="http://schemas.openxmlformats.org/drawingml/2006/picture">
                    <pic:pic xmlns:pic="http://schemas.openxmlformats.org/drawingml/2006/picture">
                      <pic:nvPicPr>
                        <pic:cNvPr id="1034" name="Picture 10" descr="Corporatelonglogo"/>
                        <pic:cNvPicPr>
                          <a:picLocks noChangeAspect="1" noChangeArrowheads="1"/>
                        </pic:cNvPicPr>
                      </pic:nvPicPr>
                      <pic:blipFill>
                        <a:blip r:embed="rId5"/>
                        <a:srcRect/>
                        <a:stretch>
                          <a:fillRect/>
                        </a:stretch>
                      </pic:blipFill>
                      <pic:spPr bwMode="auto">
                        <a:xfrm>
                          <a:off x="0" y="0"/>
                          <a:ext cx="2019300" cy="504825"/>
                        </a:xfrm>
                        <a:prstGeom prst="rect">
                          <a:avLst/>
                        </a:prstGeom>
                        <a:noFill/>
                      </pic:spPr>
                    </pic:pic>
                  </a:graphicData>
                </a:graphic>
              </wp:inline>
            </w:drawing>
          </w:r>
          <w:r>
            <w:t xml:space="preserve">   </w:t>
          </w:r>
          <w:r>
            <w:rPr>
              <w:noProof/>
              <w:lang w:val="en-US" w:eastAsia="en-US" w:bidi="ar-SA"/>
            </w:rPr>
            <w:drawing>
              <wp:inline distT="0" distB="0" distL="0" distR="0">
                <wp:extent cx="1562100" cy="704850"/>
                <wp:effectExtent l="19050" t="0" r="0" b="0"/>
                <wp:docPr id="38" name="Picture 38" descr="SIFMA_logo_rgbWORD"/>
                <wp:cNvGraphicFramePr/>
                <a:graphic xmlns:a="http://schemas.openxmlformats.org/drawingml/2006/main">
                  <a:graphicData uri="http://schemas.openxmlformats.org/drawingml/2006/picture">
                    <pic:pic xmlns:pic="http://schemas.openxmlformats.org/drawingml/2006/picture">
                      <pic:nvPicPr>
                        <pic:cNvPr id="1033" name="Picture 1" descr="SIFMA_logo_rgbWORD"/>
                        <pic:cNvPicPr>
                          <a:picLocks noChangeAspect="1" noChangeArrowheads="1"/>
                        </pic:cNvPicPr>
                      </pic:nvPicPr>
                      <pic:blipFill>
                        <a:blip r:embed="rId6"/>
                        <a:srcRect/>
                        <a:stretch>
                          <a:fillRect/>
                        </a:stretch>
                      </pic:blipFill>
                      <pic:spPr bwMode="auto">
                        <a:xfrm>
                          <a:off x="0" y="0"/>
                          <a:ext cx="1562100" cy="704850"/>
                        </a:xfrm>
                        <a:prstGeom prst="rect">
                          <a:avLst/>
                        </a:prstGeom>
                        <a:noFill/>
                      </pic:spPr>
                    </pic:pic>
                  </a:graphicData>
                </a:graphic>
              </wp:inline>
            </w:drawing>
          </w:r>
        </w:p>
      </w:tc>
      <w:tc>
        <w:tcPr>
          <w:tcW w:w="272" w:type="dxa"/>
          <w:vAlign w:val="center"/>
        </w:tcPr>
        <w:p w:rsidR="001A4F96" w:rsidRDefault="001A4F96" w:rsidP="001A4F96">
          <w:pPr>
            <w:pStyle w:val="Header"/>
            <w:jc w:val="center"/>
          </w:pPr>
        </w:p>
      </w:tc>
      <w:tc>
        <w:tcPr>
          <w:tcW w:w="2908" w:type="dxa"/>
          <w:vAlign w:val="center"/>
        </w:tcPr>
        <w:p w:rsidR="001A4F96" w:rsidRDefault="001A4F96" w:rsidP="001A4F96">
          <w:pPr>
            <w:pStyle w:val="Header"/>
            <w:jc w:val="center"/>
          </w:pPr>
        </w:p>
      </w:tc>
    </w:tr>
    <w:tr w:rsidR="001A4F96" w:rsidTr="00DF3DDC">
      <w:trPr>
        <w:trHeight w:val="905"/>
      </w:trPr>
      <w:tc>
        <w:tcPr>
          <w:tcW w:w="9180" w:type="dxa"/>
          <w:vAlign w:val="center"/>
        </w:tcPr>
        <w:p w:rsidR="001A4F96" w:rsidRDefault="001A4F96" w:rsidP="00DF3DDC">
          <w:pPr>
            <w:pStyle w:val="Header"/>
            <w:jc w:val="center"/>
          </w:pPr>
        </w:p>
      </w:tc>
      <w:tc>
        <w:tcPr>
          <w:tcW w:w="4359" w:type="dxa"/>
          <w:gridSpan w:val="3"/>
          <w:vAlign w:val="center"/>
        </w:tcPr>
        <w:p w:rsidR="001A4F96" w:rsidRDefault="001A4F96" w:rsidP="00DF3DDC">
          <w:pPr>
            <w:pStyle w:val="Header"/>
            <w:jc w:val="center"/>
          </w:pPr>
        </w:p>
      </w:tc>
    </w:tr>
  </w:tbl>
  <w:p w:rsidR="00113FB4" w:rsidRDefault="00113FB4" w:rsidP="007B6215">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7188F"/>
    <w:multiLevelType w:val="multilevel"/>
    <w:tmpl w:val="83606434"/>
    <w:name w:val="8be3ad72-fec8-430f-8b2a-7b770ac10f80"/>
    <w:lvl w:ilvl="0">
      <w:start w:val="1"/>
      <w:numFmt w:val="decima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6">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8">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1">
    <w:nsid w:val="0AB731F4"/>
    <w:multiLevelType w:val="hybridMultilevel"/>
    <w:tmpl w:val="58A4F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A112AD4"/>
    <w:multiLevelType w:val="hybridMultilevel"/>
    <w:tmpl w:val="6FBAA5D4"/>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1B1410A6"/>
    <w:multiLevelType w:val="hybridMultilevel"/>
    <w:tmpl w:val="A546E6C2"/>
    <w:lvl w:ilvl="0" w:tplc="0409000F">
      <w:start w:val="1"/>
      <w:numFmt w:val="decimal"/>
      <w:lvlText w:val="%1."/>
      <w:lvlJc w:val="left"/>
      <w:pPr>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2437189F"/>
    <w:multiLevelType w:val="hybridMultilevel"/>
    <w:tmpl w:val="5F1E9E9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17">
      <w:start w:val="1"/>
      <w:numFmt w:val="lowerLetter"/>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2FF3303A"/>
    <w:multiLevelType w:val="hybridMultilevel"/>
    <w:tmpl w:val="C1AEE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0DF1903"/>
    <w:multiLevelType w:val="singleLevel"/>
    <w:tmpl w:val="0C36CB0E"/>
    <w:name w:val="Bullet 5"/>
    <w:lvl w:ilvl="0">
      <w:start w:val="1"/>
      <w:numFmt w:val="bullet"/>
      <w:pStyle w:val="Bullet5"/>
      <w:lvlText w:val=""/>
      <w:lvlJc w:val="left"/>
      <w:pPr>
        <w:tabs>
          <w:tab w:val="num" w:pos="3289"/>
        </w:tabs>
        <w:ind w:left="3289" w:hanging="681"/>
      </w:pPr>
      <w:rPr>
        <w:rFonts w:ascii="Symbol" w:hAnsi="Symbol" w:hint="default"/>
      </w:rPr>
    </w:lvl>
  </w:abstractNum>
  <w:abstractNum w:abstractNumId="7">
    <w:nsid w:val="3A98290F"/>
    <w:multiLevelType w:val="hybridMultilevel"/>
    <w:tmpl w:val="A454B0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F6A054D"/>
    <w:multiLevelType w:val="hybridMultilevel"/>
    <w:tmpl w:val="F1F601B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BD90AE9"/>
    <w:multiLevelType w:val="hybridMultilevel"/>
    <w:tmpl w:val="89923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6A54B7C"/>
    <w:multiLevelType w:val="multilevel"/>
    <w:tmpl w:val="4118A4C4"/>
    <w:name w:val="Paragraph"/>
    <w:lvl w:ilvl="0">
      <w:start w:val="1"/>
      <w:numFmt w:val="decimal"/>
      <w:lvlRestart w:val="0"/>
      <w:pStyle w:val="Paragraph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lowerLetter"/>
      <w:pStyle w:val="ParagraphL2"/>
      <w:lvlText w:val="(%2)"/>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Roman"/>
      <w:pStyle w:val="ParagraphL3"/>
      <w:lvlText w:val="(%3)"/>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pStyle w:val="ParagraphL4"/>
      <w:lvlText w:val="(%4)"/>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pStyle w:val="ParagraphL5"/>
      <w:lvlText w:val="(%5)"/>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pStyle w:val="ParagraphL6"/>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pStyle w:val="ParagraphL7"/>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ParagraphL8"/>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ParagraphL9"/>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11">
    <w:nsid w:val="57232C5F"/>
    <w:multiLevelType w:val="hybridMultilevel"/>
    <w:tmpl w:val="D2ACCA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E995F62"/>
    <w:multiLevelType w:val="hybridMultilevel"/>
    <w:tmpl w:val="E156352A"/>
    <w:lvl w:ilvl="0" w:tplc="A6C2D1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5F771C18"/>
    <w:multiLevelType w:val="hybridMultilevel"/>
    <w:tmpl w:val="90F6B702"/>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nsid w:val="7C8A1BE2"/>
    <w:multiLevelType w:val="hybridMultilevel"/>
    <w:tmpl w:val="DB76B7B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10"/>
  </w:num>
  <w:num w:numId="11">
    <w:abstractNumId w:val="6"/>
  </w:num>
  <w:num w:numId="12">
    <w:abstractNumId w:val="2"/>
  </w:num>
  <w:num w:numId="13">
    <w:abstractNumId w:val="13"/>
  </w:num>
  <w:num w:numId="14">
    <w:abstractNumId w:val="7"/>
  </w:num>
  <w:num w:numId="15">
    <w:abstractNumId w:val="1"/>
  </w:num>
  <w:num w:numId="16">
    <w:abstractNumId w:val="11"/>
  </w:num>
  <w:num w:numId="17">
    <w:abstractNumId w:val="5"/>
  </w:num>
  <w:num w:numId="18">
    <w:abstractNumId w:val="9"/>
  </w:num>
  <w:num w:numId="19">
    <w:abstractNumId w:val="8"/>
  </w:num>
  <w:num w:numId="20">
    <w:abstractNumId w:val="12"/>
  </w:num>
  <w:num w:numId="21">
    <w:abstractNumId w:val="4"/>
  </w:num>
  <w:num w:numId="22">
    <w:abstractNumId w:val="14"/>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bordersDoNotSurroundHeader/>
  <w:bordersDoNotSurroundFooter/>
  <w:stylePaneFormatFilter w:val="1021"/>
  <w:stylePaneSortMethod w:val="0000"/>
  <w:trackRevisions/>
  <w:defaultTabStop w:val="720"/>
  <w:drawingGridHorizontalSpacing w:val="120"/>
  <w:displayHorizontalDrawingGridEvery w:val="2"/>
  <w:characterSpacingControl w:val="doNotCompress"/>
  <w:hdrShapeDefaults>
    <o:shapedefaults v:ext="edit" spidmax="4097">
      <v:textbox inset="5.85pt,.7pt,5.85pt,.7pt"/>
    </o:shapedefaults>
  </w:hdrShapeDefaults>
  <w:footnotePr>
    <w:footnote w:id="-1"/>
    <w:footnote w:id="0"/>
  </w:footnotePr>
  <w:endnotePr>
    <w:endnote w:id="-1"/>
    <w:endnote w:id="0"/>
  </w:endnotePr>
  <w:compat>
    <w:applyBreakingRules/>
    <w:useFELayout/>
  </w:compat>
  <w:rsids>
    <w:rsidRoot w:val="00660393"/>
    <w:rsid w:val="00004A59"/>
    <w:rsid w:val="00011200"/>
    <w:rsid w:val="0001388C"/>
    <w:rsid w:val="00014DB3"/>
    <w:rsid w:val="000150E7"/>
    <w:rsid w:val="0001713E"/>
    <w:rsid w:val="0002105A"/>
    <w:rsid w:val="00021FC5"/>
    <w:rsid w:val="00026CE8"/>
    <w:rsid w:val="0002717C"/>
    <w:rsid w:val="00031907"/>
    <w:rsid w:val="000368EE"/>
    <w:rsid w:val="00040F3D"/>
    <w:rsid w:val="00041855"/>
    <w:rsid w:val="000440B3"/>
    <w:rsid w:val="00045990"/>
    <w:rsid w:val="00047C84"/>
    <w:rsid w:val="00050BC8"/>
    <w:rsid w:val="00056519"/>
    <w:rsid w:val="00064665"/>
    <w:rsid w:val="000655EB"/>
    <w:rsid w:val="00066835"/>
    <w:rsid w:val="00067954"/>
    <w:rsid w:val="000713C3"/>
    <w:rsid w:val="000733BE"/>
    <w:rsid w:val="000733DB"/>
    <w:rsid w:val="00084F5D"/>
    <w:rsid w:val="00085B40"/>
    <w:rsid w:val="000906F0"/>
    <w:rsid w:val="00091783"/>
    <w:rsid w:val="000935C4"/>
    <w:rsid w:val="0009549A"/>
    <w:rsid w:val="000A61E8"/>
    <w:rsid w:val="000C64BD"/>
    <w:rsid w:val="000C7264"/>
    <w:rsid w:val="000D11B6"/>
    <w:rsid w:val="000D1C4C"/>
    <w:rsid w:val="000D1F9D"/>
    <w:rsid w:val="000D1FED"/>
    <w:rsid w:val="000D2758"/>
    <w:rsid w:val="000D49AD"/>
    <w:rsid w:val="000E22D1"/>
    <w:rsid w:val="000E3C7E"/>
    <w:rsid w:val="000F06DB"/>
    <w:rsid w:val="000F08CD"/>
    <w:rsid w:val="000F1AA5"/>
    <w:rsid w:val="000F3E45"/>
    <w:rsid w:val="000F52E5"/>
    <w:rsid w:val="00101A15"/>
    <w:rsid w:val="00103D36"/>
    <w:rsid w:val="00113FB4"/>
    <w:rsid w:val="00114B8B"/>
    <w:rsid w:val="001163C4"/>
    <w:rsid w:val="00117312"/>
    <w:rsid w:val="00124385"/>
    <w:rsid w:val="00126A54"/>
    <w:rsid w:val="00135447"/>
    <w:rsid w:val="001358C6"/>
    <w:rsid w:val="00140CF8"/>
    <w:rsid w:val="00141011"/>
    <w:rsid w:val="00144807"/>
    <w:rsid w:val="001468CD"/>
    <w:rsid w:val="00173386"/>
    <w:rsid w:val="00184E3B"/>
    <w:rsid w:val="00191EF5"/>
    <w:rsid w:val="0019241D"/>
    <w:rsid w:val="001926CD"/>
    <w:rsid w:val="00196F66"/>
    <w:rsid w:val="001A036D"/>
    <w:rsid w:val="001A10E8"/>
    <w:rsid w:val="001A2AFF"/>
    <w:rsid w:val="001A4F96"/>
    <w:rsid w:val="001B4F0D"/>
    <w:rsid w:val="001C2503"/>
    <w:rsid w:val="001C3B74"/>
    <w:rsid w:val="001C58B6"/>
    <w:rsid w:val="001D2707"/>
    <w:rsid w:val="001E16CC"/>
    <w:rsid w:val="001E3678"/>
    <w:rsid w:val="001E4569"/>
    <w:rsid w:val="001F0DFF"/>
    <w:rsid w:val="001F1771"/>
    <w:rsid w:val="001F2AF0"/>
    <w:rsid w:val="001F32CC"/>
    <w:rsid w:val="001F47D4"/>
    <w:rsid w:val="00203116"/>
    <w:rsid w:val="0020639E"/>
    <w:rsid w:val="00210692"/>
    <w:rsid w:val="00210BC6"/>
    <w:rsid w:val="00220DCD"/>
    <w:rsid w:val="0022504E"/>
    <w:rsid w:val="00231896"/>
    <w:rsid w:val="002379BE"/>
    <w:rsid w:val="002541EE"/>
    <w:rsid w:val="002579E9"/>
    <w:rsid w:val="00257CA6"/>
    <w:rsid w:val="00264149"/>
    <w:rsid w:val="002647B4"/>
    <w:rsid w:val="00264CC0"/>
    <w:rsid w:val="00267B6E"/>
    <w:rsid w:val="00271179"/>
    <w:rsid w:val="00272011"/>
    <w:rsid w:val="00272EC7"/>
    <w:rsid w:val="00273833"/>
    <w:rsid w:val="00280B62"/>
    <w:rsid w:val="00293343"/>
    <w:rsid w:val="002A1947"/>
    <w:rsid w:val="002B12BB"/>
    <w:rsid w:val="002B1CA8"/>
    <w:rsid w:val="002B3B85"/>
    <w:rsid w:val="002D525F"/>
    <w:rsid w:val="002E0CDC"/>
    <w:rsid w:val="002F1DB9"/>
    <w:rsid w:val="002F4EDC"/>
    <w:rsid w:val="002F52A9"/>
    <w:rsid w:val="002F567E"/>
    <w:rsid w:val="002F6620"/>
    <w:rsid w:val="003035BE"/>
    <w:rsid w:val="003050B3"/>
    <w:rsid w:val="0030567B"/>
    <w:rsid w:val="00307F83"/>
    <w:rsid w:val="0032005B"/>
    <w:rsid w:val="00324FB3"/>
    <w:rsid w:val="00327202"/>
    <w:rsid w:val="00341354"/>
    <w:rsid w:val="00344490"/>
    <w:rsid w:val="003457B5"/>
    <w:rsid w:val="003506D0"/>
    <w:rsid w:val="00363207"/>
    <w:rsid w:val="0036509B"/>
    <w:rsid w:val="00366136"/>
    <w:rsid w:val="00366316"/>
    <w:rsid w:val="00370897"/>
    <w:rsid w:val="003727EA"/>
    <w:rsid w:val="00375786"/>
    <w:rsid w:val="00376824"/>
    <w:rsid w:val="003844DB"/>
    <w:rsid w:val="0038581C"/>
    <w:rsid w:val="00385CE1"/>
    <w:rsid w:val="00386915"/>
    <w:rsid w:val="003904AB"/>
    <w:rsid w:val="003951AD"/>
    <w:rsid w:val="003972B9"/>
    <w:rsid w:val="003A1EAF"/>
    <w:rsid w:val="003A5F0A"/>
    <w:rsid w:val="003B16BC"/>
    <w:rsid w:val="003B2B92"/>
    <w:rsid w:val="003B635A"/>
    <w:rsid w:val="003C6DFB"/>
    <w:rsid w:val="003C7C9F"/>
    <w:rsid w:val="003E34EA"/>
    <w:rsid w:val="003F20FB"/>
    <w:rsid w:val="003F6D82"/>
    <w:rsid w:val="004016CB"/>
    <w:rsid w:val="004022D0"/>
    <w:rsid w:val="0040517C"/>
    <w:rsid w:val="00405928"/>
    <w:rsid w:val="004079E5"/>
    <w:rsid w:val="00413844"/>
    <w:rsid w:val="00413B73"/>
    <w:rsid w:val="00415ACE"/>
    <w:rsid w:val="00417459"/>
    <w:rsid w:val="00426221"/>
    <w:rsid w:val="00433B46"/>
    <w:rsid w:val="0043594B"/>
    <w:rsid w:val="00443500"/>
    <w:rsid w:val="004522CC"/>
    <w:rsid w:val="00452B5A"/>
    <w:rsid w:val="00453CFF"/>
    <w:rsid w:val="0045547D"/>
    <w:rsid w:val="00457046"/>
    <w:rsid w:val="00462931"/>
    <w:rsid w:val="00473938"/>
    <w:rsid w:val="00473F49"/>
    <w:rsid w:val="00473FED"/>
    <w:rsid w:val="004804AE"/>
    <w:rsid w:val="00490D09"/>
    <w:rsid w:val="0049143A"/>
    <w:rsid w:val="004A0B63"/>
    <w:rsid w:val="004A29FD"/>
    <w:rsid w:val="004A4014"/>
    <w:rsid w:val="004A4C9C"/>
    <w:rsid w:val="004C0008"/>
    <w:rsid w:val="004C0417"/>
    <w:rsid w:val="004C2156"/>
    <w:rsid w:val="004C5596"/>
    <w:rsid w:val="004D4A4D"/>
    <w:rsid w:val="004D68A4"/>
    <w:rsid w:val="004F1FFB"/>
    <w:rsid w:val="004F3F04"/>
    <w:rsid w:val="004F4FE9"/>
    <w:rsid w:val="004F5D30"/>
    <w:rsid w:val="00503C68"/>
    <w:rsid w:val="00506E8C"/>
    <w:rsid w:val="00510507"/>
    <w:rsid w:val="00511CE3"/>
    <w:rsid w:val="0051364F"/>
    <w:rsid w:val="005157DC"/>
    <w:rsid w:val="00520ECE"/>
    <w:rsid w:val="0053355B"/>
    <w:rsid w:val="00534EB9"/>
    <w:rsid w:val="00537C62"/>
    <w:rsid w:val="005403C9"/>
    <w:rsid w:val="00544517"/>
    <w:rsid w:val="00546D84"/>
    <w:rsid w:val="00552AE7"/>
    <w:rsid w:val="005601EB"/>
    <w:rsid w:val="00560AD5"/>
    <w:rsid w:val="0056364B"/>
    <w:rsid w:val="0056658C"/>
    <w:rsid w:val="00573020"/>
    <w:rsid w:val="005739BB"/>
    <w:rsid w:val="00586FDF"/>
    <w:rsid w:val="0059651D"/>
    <w:rsid w:val="005A4739"/>
    <w:rsid w:val="005A7522"/>
    <w:rsid w:val="005B4A35"/>
    <w:rsid w:val="005B75D0"/>
    <w:rsid w:val="005D20CD"/>
    <w:rsid w:val="005D6987"/>
    <w:rsid w:val="005D69DB"/>
    <w:rsid w:val="005E2D46"/>
    <w:rsid w:val="005E3713"/>
    <w:rsid w:val="005F2422"/>
    <w:rsid w:val="005F2BA4"/>
    <w:rsid w:val="005F2F19"/>
    <w:rsid w:val="005F7CD2"/>
    <w:rsid w:val="00605DCC"/>
    <w:rsid w:val="00612729"/>
    <w:rsid w:val="006133B0"/>
    <w:rsid w:val="006201CD"/>
    <w:rsid w:val="006250F5"/>
    <w:rsid w:val="00633872"/>
    <w:rsid w:val="00633E5F"/>
    <w:rsid w:val="0063472B"/>
    <w:rsid w:val="006437E8"/>
    <w:rsid w:val="00647421"/>
    <w:rsid w:val="006552A2"/>
    <w:rsid w:val="00660393"/>
    <w:rsid w:val="00661BD1"/>
    <w:rsid w:val="00667616"/>
    <w:rsid w:val="00667B71"/>
    <w:rsid w:val="00667E47"/>
    <w:rsid w:val="0067189C"/>
    <w:rsid w:val="00673CCD"/>
    <w:rsid w:val="00674CC1"/>
    <w:rsid w:val="0067514A"/>
    <w:rsid w:val="0067673F"/>
    <w:rsid w:val="0068064A"/>
    <w:rsid w:val="00680956"/>
    <w:rsid w:val="00680AE0"/>
    <w:rsid w:val="006814DA"/>
    <w:rsid w:val="0068282E"/>
    <w:rsid w:val="00685CEC"/>
    <w:rsid w:val="006926A5"/>
    <w:rsid w:val="006A1927"/>
    <w:rsid w:val="006A3262"/>
    <w:rsid w:val="006A5F82"/>
    <w:rsid w:val="006A68DF"/>
    <w:rsid w:val="006A7CE4"/>
    <w:rsid w:val="006A7E60"/>
    <w:rsid w:val="006B4536"/>
    <w:rsid w:val="006C4A6A"/>
    <w:rsid w:val="006C4F62"/>
    <w:rsid w:val="006D44D3"/>
    <w:rsid w:val="006E12C6"/>
    <w:rsid w:val="006E2531"/>
    <w:rsid w:val="006E36D6"/>
    <w:rsid w:val="006E3D1A"/>
    <w:rsid w:val="006E52C7"/>
    <w:rsid w:val="00700A98"/>
    <w:rsid w:val="00713376"/>
    <w:rsid w:val="007133C1"/>
    <w:rsid w:val="00723310"/>
    <w:rsid w:val="0072446A"/>
    <w:rsid w:val="0072483A"/>
    <w:rsid w:val="00737DB8"/>
    <w:rsid w:val="0074015E"/>
    <w:rsid w:val="00747260"/>
    <w:rsid w:val="00747317"/>
    <w:rsid w:val="00751746"/>
    <w:rsid w:val="0075410D"/>
    <w:rsid w:val="0075629B"/>
    <w:rsid w:val="00756791"/>
    <w:rsid w:val="007601C4"/>
    <w:rsid w:val="0076374F"/>
    <w:rsid w:val="00773154"/>
    <w:rsid w:val="00776556"/>
    <w:rsid w:val="0078003E"/>
    <w:rsid w:val="0078143D"/>
    <w:rsid w:val="007844F9"/>
    <w:rsid w:val="00787365"/>
    <w:rsid w:val="00792289"/>
    <w:rsid w:val="00795B14"/>
    <w:rsid w:val="007A7DCE"/>
    <w:rsid w:val="007B110B"/>
    <w:rsid w:val="007B6215"/>
    <w:rsid w:val="007B6ADD"/>
    <w:rsid w:val="007C44F7"/>
    <w:rsid w:val="007C4EDA"/>
    <w:rsid w:val="007D09B8"/>
    <w:rsid w:val="007D3227"/>
    <w:rsid w:val="007D38B1"/>
    <w:rsid w:val="007D6DFB"/>
    <w:rsid w:val="007E0DD2"/>
    <w:rsid w:val="007E3B1C"/>
    <w:rsid w:val="007E7CBF"/>
    <w:rsid w:val="007F28F8"/>
    <w:rsid w:val="007F2EC3"/>
    <w:rsid w:val="007F3E79"/>
    <w:rsid w:val="007F48EB"/>
    <w:rsid w:val="007F591E"/>
    <w:rsid w:val="007F5D27"/>
    <w:rsid w:val="007F7289"/>
    <w:rsid w:val="0081060B"/>
    <w:rsid w:val="008133C3"/>
    <w:rsid w:val="0081487B"/>
    <w:rsid w:val="0081490B"/>
    <w:rsid w:val="00817AC7"/>
    <w:rsid w:val="008275FE"/>
    <w:rsid w:val="00832349"/>
    <w:rsid w:val="00836BC7"/>
    <w:rsid w:val="0083722A"/>
    <w:rsid w:val="0084026A"/>
    <w:rsid w:val="0084190B"/>
    <w:rsid w:val="00842EE5"/>
    <w:rsid w:val="008435F0"/>
    <w:rsid w:val="00843C86"/>
    <w:rsid w:val="00845032"/>
    <w:rsid w:val="008458A2"/>
    <w:rsid w:val="008514EA"/>
    <w:rsid w:val="00851D10"/>
    <w:rsid w:val="008531C5"/>
    <w:rsid w:val="00857CEF"/>
    <w:rsid w:val="008615F0"/>
    <w:rsid w:val="0086242F"/>
    <w:rsid w:val="00870240"/>
    <w:rsid w:val="0087468C"/>
    <w:rsid w:val="00874928"/>
    <w:rsid w:val="00875BF9"/>
    <w:rsid w:val="00875C47"/>
    <w:rsid w:val="00880A51"/>
    <w:rsid w:val="00881320"/>
    <w:rsid w:val="00881386"/>
    <w:rsid w:val="00894A06"/>
    <w:rsid w:val="00895878"/>
    <w:rsid w:val="008974CE"/>
    <w:rsid w:val="008A2FD5"/>
    <w:rsid w:val="008A3F98"/>
    <w:rsid w:val="008A5408"/>
    <w:rsid w:val="008B44D1"/>
    <w:rsid w:val="008B47F1"/>
    <w:rsid w:val="008C50CE"/>
    <w:rsid w:val="008C6936"/>
    <w:rsid w:val="008E0A17"/>
    <w:rsid w:val="008F2F2E"/>
    <w:rsid w:val="00912A38"/>
    <w:rsid w:val="00912F36"/>
    <w:rsid w:val="00913E8E"/>
    <w:rsid w:val="009200E4"/>
    <w:rsid w:val="009251F1"/>
    <w:rsid w:val="009327A8"/>
    <w:rsid w:val="00937AE5"/>
    <w:rsid w:val="0094003C"/>
    <w:rsid w:val="009430D1"/>
    <w:rsid w:val="00945BBE"/>
    <w:rsid w:val="009560FF"/>
    <w:rsid w:val="0095678E"/>
    <w:rsid w:val="00956DDA"/>
    <w:rsid w:val="009577E7"/>
    <w:rsid w:val="0096100A"/>
    <w:rsid w:val="009671E3"/>
    <w:rsid w:val="00967A8F"/>
    <w:rsid w:val="0097050D"/>
    <w:rsid w:val="00970A2B"/>
    <w:rsid w:val="009870CF"/>
    <w:rsid w:val="009900D2"/>
    <w:rsid w:val="0099623D"/>
    <w:rsid w:val="00997CF1"/>
    <w:rsid w:val="009A1069"/>
    <w:rsid w:val="009A2927"/>
    <w:rsid w:val="009A6A8B"/>
    <w:rsid w:val="009A6D5D"/>
    <w:rsid w:val="009A7569"/>
    <w:rsid w:val="009A7D26"/>
    <w:rsid w:val="009B2C77"/>
    <w:rsid w:val="009B2E92"/>
    <w:rsid w:val="009B3585"/>
    <w:rsid w:val="009C25CC"/>
    <w:rsid w:val="009C6335"/>
    <w:rsid w:val="009D4AA6"/>
    <w:rsid w:val="009E0267"/>
    <w:rsid w:val="009E5F5B"/>
    <w:rsid w:val="009F7500"/>
    <w:rsid w:val="00A01853"/>
    <w:rsid w:val="00A018D4"/>
    <w:rsid w:val="00A0428D"/>
    <w:rsid w:val="00A05304"/>
    <w:rsid w:val="00A134DB"/>
    <w:rsid w:val="00A15513"/>
    <w:rsid w:val="00A24900"/>
    <w:rsid w:val="00A270E1"/>
    <w:rsid w:val="00A32F97"/>
    <w:rsid w:val="00A33D65"/>
    <w:rsid w:val="00A43659"/>
    <w:rsid w:val="00A44769"/>
    <w:rsid w:val="00A50986"/>
    <w:rsid w:val="00A51E29"/>
    <w:rsid w:val="00A533BB"/>
    <w:rsid w:val="00A5426B"/>
    <w:rsid w:val="00A64AC5"/>
    <w:rsid w:val="00A6635F"/>
    <w:rsid w:val="00A67D2F"/>
    <w:rsid w:val="00A732C7"/>
    <w:rsid w:val="00A83D99"/>
    <w:rsid w:val="00A84852"/>
    <w:rsid w:val="00A904A4"/>
    <w:rsid w:val="00A944D5"/>
    <w:rsid w:val="00A96038"/>
    <w:rsid w:val="00AA05E8"/>
    <w:rsid w:val="00AA2FD2"/>
    <w:rsid w:val="00AB6B66"/>
    <w:rsid w:val="00AC606E"/>
    <w:rsid w:val="00AC64E2"/>
    <w:rsid w:val="00AC6A14"/>
    <w:rsid w:val="00AD3F98"/>
    <w:rsid w:val="00AE1693"/>
    <w:rsid w:val="00AF2838"/>
    <w:rsid w:val="00AF2D09"/>
    <w:rsid w:val="00B000E4"/>
    <w:rsid w:val="00B03748"/>
    <w:rsid w:val="00B03FAA"/>
    <w:rsid w:val="00B1187F"/>
    <w:rsid w:val="00B11F06"/>
    <w:rsid w:val="00B126D5"/>
    <w:rsid w:val="00B1301A"/>
    <w:rsid w:val="00B1378D"/>
    <w:rsid w:val="00B260D6"/>
    <w:rsid w:val="00B333F3"/>
    <w:rsid w:val="00B450BE"/>
    <w:rsid w:val="00B456B8"/>
    <w:rsid w:val="00B53614"/>
    <w:rsid w:val="00B54A9C"/>
    <w:rsid w:val="00B55761"/>
    <w:rsid w:val="00B56592"/>
    <w:rsid w:val="00B60C3B"/>
    <w:rsid w:val="00B64271"/>
    <w:rsid w:val="00B71A69"/>
    <w:rsid w:val="00B77ABD"/>
    <w:rsid w:val="00B86493"/>
    <w:rsid w:val="00B90CA1"/>
    <w:rsid w:val="00B9117D"/>
    <w:rsid w:val="00BA4CCF"/>
    <w:rsid w:val="00BB5A3D"/>
    <w:rsid w:val="00BC7173"/>
    <w:rsid w:val="00BE1DED"/>
    <w:rsid w:val="00BE5237"/>
    <w:rsid w:val="00BF2554"/>
    <w:rsid w:val="00BF537A"/>
    <w:rsid w:val="00BF764D"/>
    <w:rsid w:val="00BF7843"/>
    <w:rsid w:val="00C0063B"/>
    <w:rsid w:val="00C007A7"/>
    <w:rsid w:val="00C022EB"/>
    <w:rsid w:val="00C04A48"/>
    <w:rsid w:val="00C05D9B"/>
    <w:rsid w:val="00C06B50"/>
    <w:rsid w:val="00C06C4D"/>
    <w:rsid w:val="00C1085F"/>
    <w:rsid w:val="00C11E3F"/>
    <w:rsid w:val="00C1401C"/>
    <w:rsid w:val="00C23648"/>
    <w:rsid w:val="00C3267F"/>
    <w:rsid w:val="00C329C6"/>
    <w:rsid w:val="00C32FEA"/>
    <w:rsid w:val="00C44670"/>
    <w:rsid w:val="00C47A11"/>
    <w:rsid w:val="00C51336"/>
    <w:rsid w:val="00C57998"/>
    <w:rsid w:val="00C6020D"/>
    <w:rsid w:val="00C624F5"/>
    <w:rsid w:val="00C62CDE"/>
    <w:rsid w:val="00C711BB"/>
    <w:rsid w:val="00C753CA"/>
    <w:rsid w:val="00C7665F"/>
    <w:rsid w:val="00C84C29"/>
    <w:rsid w:val="00C9067B"/>
    <w:rsid w:val="00C956A6"/>
    <w:rsid w:val="00C9744F"/>
    <w:rsid w:val="00CA765F"/>
    <w:rsid w:val="00CB4524"/>
    <w:rsid w:val="00CB4FE0"/>
    <w:rsid w:val="00CB62F8"/>
    <w:rsid w:val="00CB634B"/>
    <w:rsid w:val="00CC3D3E"/>
    <w:rsid w:val="00CC6070"/>
    <w:rsid w:val="00CD2384"/>
    <w:rsid w:val="00CD2D47"/>
    <w:rsid w:val="00CE1274"/>
    <w:rsid w:val="00CE1A30"/>
    <w:rsid w:val="00CE1D0A"/>
    <w:rsid w:val="00CE3B3A"/>
    <w:rsid w:val="00CE67E4"/>
    <w:rsid w:val="00D00CE2"/>
    <w:rsid w:val="00D01D4F"/>
    <w:rsid w:val="00D05541"/>
    <w:rsid w:val="00D068DF"/>
    <w:rsid w:val="00D07287"/>
    <w:rsid w:val="00D10A0A"/>
    <w:rsid w:val="00D2234B"/>
    <w:rsid w:val="00D23AFD"/>
    <w:rsid w:val="00D331CD"/>
    <w:rsid w:val="00D35FF9"/>
    <w:rsid w:val="00D44DBE"/>
    <w:rsid w:val="00D44F3E"/>
    <w:rsid w:val="00D45DFD"/>
    <w:rsid w:val="00D51C75"/>
    <w:rsid w:val="00D52239"/>
    <w:rsid w:val="00D55E75"/>
    <w:rsid w:val="00D573CD"/>
    <w:rsid w:val="00D610C7"/>
    <w:rsid w:val="00D631F0"/>
    <w:rsid w:val="00D63765"/>
    <w:rsid w:val="00D6773E"/>
    <w:rsid w:val="00D72BF2"/>
    <w:rsid w:val="00D73505"/>
    <w:rsid w:val="00D7472B"/>
    <w:rsid w:val="00D80B15"/>
    <w:rsid w:val="00D9389E"/>
    <w:rsid w:val="00DA01A8"/>
    <w:rsid w:val="00DA02A0"/>
    <w:rsid w:val="00DA3D9F"/>
    <w:rsid w:val="00DA5429"/>
    <w:rsid w:val="00DC1BC4"/>
    <w:rsid w:val="00DC4BAF"/>
    <w:rsid w:val="00DD3809"/>
    <w:rsid w:val="00DD5DC9"/>
    <w:rsid w:val="00DD67B7"/>
    <w:rsid w:val="00DE161D"/>
    <w:rsid w:val="00DF1AEB"/>
    <w:rsid w:val="00DF3DDC"/>
    <w:rsid w:val="00DF406B"/>
    <w:rsid w:val="00DF5F21"/>
    <w:rsid w:val="00E00384"/>
    <w:rsid w:val="00E00E83"/>
    <w:rsid w:val="00E01A14"/>
    <w:rsid w:val="00E01ED2"/>
    <w:rsid w:val="00E035D3"/>
    <w:rsid w:val="00E041C4"/>
    <w:rsid w:val="00E13902"/>
    <w:rsid w:val="00E13A37"/>
    <w:rsid w:val="00E14778"/>
    <w:rsid w:val="00E227CD"/>
    <w:rsid w:val="00E22E66"/>
    <w:rsid w:val="00E30611"/>
    <w:rsid w:val="00E35ED0"/>
    <w:rsid w:val="00E41A6E"/>
    <w:rsid w:val="00E43E17"/>
    <w:rsid w:val="00E4611E"/>
    <w:rsid w:val="00E4740D"/>
    <w:rsid w:val="00E50C3E"/>
    <w:rsid w:val="00E56293"/>
    <w:rsid w:val="00E64545"/>
    <w:rsid w:val="00E6638A"/>
    <w:rsid w:val="00E70C61"/>
    <w:rsid w:val="00E71954"/>
    <w:rsid w:val="00E749B4"/>
    <w:rsid w:val="00E77F21"/>
    <w:rsid w:val="00E80450"/>
    <w:rsid w:val="00E902CF"/>
    <w:rsid w:val="00E90CE8"/>
    <w:rsid w:val="00E91B83"/>
    <w:rsid w:val="00E91FAA"/>
    <w:rsid w:val="00E9351A"/>
    <w:rsid w:val="00E94D6A"/>
    <w:rsid w:val="00E954BA"/>
    <w:rsid w:val="00EA5F33"/>
    <w:rsid w:val="00EA604D"/>
    <w:rsid w:val="00EB1EEA"/>
    <w:rsid w:val="00EB287B"/>
    <w:rsid w:val="00EB3DEF"/>
    <w:rsid w:val="00EB7066"/>
    <w:rsid w:val="00EB71C2"/>
    <w:rsid w:val="00EB7AC5"/>
    <w:rsid w:val="00EC0FDD"/>
    <w:rsid w:val="00ED060D"/>
    <w:rsid w:val="00ED507A"/>
    <w:rsid w:val="00ED60A6"/>
    <w:rsid w:val="00ED792B"/>
    <w:rsid w:val="00EE0DD9"/>
    <w:rsid w:val="00EF5F77"/>
    <w:rsid w:val="00F0301C"/>
    <w:rsid w:val="00F03733"/>
    <w:rsid w:val="00F0502B"/>
    <w:rsid w:val="00F07719"/>
    <w:rsid w:val="00F07E7D"/>
    <w:rsid w:val="00F1105F"/>
    <w:rsid w:val="00F11986"/>
    <w:rsid w:val="00F13736"/>
    <w:rsid w:val="00F15D96"/>
    <w:rsid w:val="00F15E55"/>
    <w:rsid w:val="00F15F51"/>
    <w:rsid w:val="00F2078D"/>
    <w:rsid w:val="00F21FDE"/>
    <w:rsid w:val="00F32D2A"/>
    <w:rsid w:val="00F337CC"/>
    <w:rsid w:val="00F34C4A"/>
    <w:rsid w:val="00F35BBC"/>
    <w:rsid w:val="00F35E47"/>
    <w:rsid w:val="00F4250C"/>
    <w:rsid w:val="00F43C0C"/>
    <w:rsid w:val="00F46DA2"/>
    <w:rsid w:val="00F50848"/>
    <w:rsid w:val="00F50B9D"/>
    <w:rsid w:val="00F50E0A"/>
    <w:rsid w:val="00F55D47"/>
    <w:rsid w:val="00F62E62"/>
    <w:rsid w:val="00F67AA0"/>
    <w:rsid w:val="00F73A0B"/>
    <w:rsid w:val="00F841D1"/>
    <w:rsid w:val="00F864D0"/>
    <w:rsid w:val="00F8780D"/>
    <w:rsid w:val="00F9133F"/>
    <w:rsid w:val="00F9763C"/>
    <w:rsid w:val="00FA145F"/>
    <w:rsid w:val="00FA15A4"/>
    <w:rsid w:val="00FA2A03"/>
    <w:rsid w:val="00FB0D7E"/>
    <w:rsid w:val="00FB12FF"/>
    <w:rsid w:val="00FB25BE"/>
    <w:rsid w:val="00FC07CC"/>
    <w:rsid w:val="00FC2814"/>
    <w:rsid w:val="00FC47C4"/>
    <w:rsid w:val="00FD35DF"/>
    <w:rsid w:val="00FD5C61"/>
    <w:rsid w:val="00FD7525"/>
    <w:rsid w:val="00FD78BA"/>
    <w:rsid w:val="00FE00D3"/>
    <w:rsid w:val="00FE76F5"/>
    <w:rsid w:val="00FF200B"/>
    <w:rsid w:val="00FF4953"/>
    <w:rsid w:val="00FF71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Simplified Arabic"/>
        <w:lang w:val="ja-JP" w:eastAsia="ja-JP" w:bidi="ja-JP"/>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1" w:qFormat="1"/>
    <w:lsdException w:name="header" w:qFormat="1"/>
    <w:lsdException w:name="footer" w:qFormat="1"/>
    <w:lsdException w:name="caption" w:uiPriority="35" w:qFormat="1"/>
    <w:lsdException w:name="endnote reference" w:qFormat="1"/>
    <w:lsdException w:name="endnote text" w:uiPriority="1" w:qFormat="1"/>
    <w:lsdException w:name="Title" w:semiHidden="0" w:uiPriority="0" w:unhideWhenUsed="0" w:qFormat="1"/>
    <w:lsdException w:name="Default Paragraph Font" w:uiPriority="1"/>
    <w:lsdException w:name="Body Text" w:uiPriority="0" w:qFormat="1"/>
    <w:lsdException w:name="Subtitle" w:semiHidden="0" w:uiPriority="0" w:unhideWhenUsed="0" w:qFormat="1"/>
    <w:lsdException w:name="Body Text First Indent" w:uiPriority="0" w:qFormat="1"/>
    <w:lsdException w:name="Body Text First Indent 2" w:uiPriority="0" w:qFormat="1"/>
    <w:lsdException w:name="Body Text 2" w:uiPriority="0" w:qFormat="1"/>
    <w:lsdException w:name="Body Text 3"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5E2D46"/>
    <w:pPr>
      <w:spacing w:after="240" w:line="288" w:lineRule="auto"/>
      <w:jc w:val="both"/>
    </w:pPr>
    <w:rPr>
      <w:sz w:val="24"/>
      <w:szCs w:val="24"/>
    </w:rPr>
  </w:style>
  <w:style w:type="paragraph" w:styleId="Heading1">
    <w:name w:val="heading 1"/>
    <w:basedOn w:val="Normal"/>
    <w:next w:val="BodyText"/>
    <w:link w:val="Heading1Char"/>
    <w:qFormat/>
    <w:rsid w:val="00F46DA2"/>
    <w:pPr>
      <w:outlineLvl w:val="0"/>
    </w:pPr>
  </w:style>
  <w:style w:type="paragraph" w:styleId="Heading2">
    <w:name w:val="heading 2"/>
    <w:basedOn w:val="Normal"/>
    <w:next w:val="BodyText"/>
    <w:link w:val="Heading2Char"/>
    <w:qFormat/>
    <w:rsid w:val="00F46DA2"/>
    <w:pPr>
      <w:outlineLvl w:val="1"/>
    </w:pPr>
  </w:style>
  <w:style w:type="paragraph" w:styleId="Heading3">
    <w:name w:val="heading 3"/>
    <w:basedOn w:val="Heading2"/>
    <w:next w:val="BodyText"/>
    <w:link w:val="Heading3Char"/>
    <w:rsid w:val="00F46DA2"/>
    <w:pPr>
      <w:outlineLvl w:val="2"/>
    </w:pPr>
  </w:style>
  <w:style w:type="paragraph" w:styleId="Heading4">
    <w:name w:val="heading 4"/>
    <w:basedOn w:val="Normal"/>
    <w:next w:val="BodyText"/>
    <w:link w:val="Heading4Char"/>
    <w:rsid w:val="00F46DA2"/>
    <w:pPr>
      <w:outlineLvl w:val="3"/>
    </w:pPr>
  </w:style>
  <w:style w:type="paragraph" w:styleId="Heading5">
    <w:name w:val="heading 5"/>
    <w:basedOn w:val="Normal"/>
    <w:next w:val="BodyText"/>
    <w:link w:val="Heading5Char"/>
    <w:rsid w:val="00F46DA2"/>
    <w:pPr>
      <w:outlineLvl w:val="4"/>
    </w:pPr>
  </w:style>
  <w:style w:type="paragraph" w:styleId="Heading6">
    <w:name w:val="heading 6"/>
    <w:basedOn w:val="Normal"/>
    <w:next w:val="BodyText"/>
    <w:link w:val="Heading6Char"/>
    <w:rsid w:val="00F46DA2"/>
    <w:pPr>
      <w:outlineLvl w:val="5"/>
    </w:pPr>
  </w:style>
  <w:style w:type="paragraph" w:styleId="Heading7">
    <w:name w:val="heading 7"/>
    <w:basedOn w:val="Normal"/>
    <w:next w:val="BodyText"/>
    <w:link w:val="Heading7Char"/>
    <w:rsid w:val="00F46DA2"/>
    <w:pPr>
      <w:outlineLvl w:val="6"/>
    </w:pPr>
  </w:style>
  <w:style w:type="paragraph" w:styleId="Heading8">
    <w:name w:val="heading 8"/>
    <w:basedOn w:val="Normal"/>
    <w:next w:val="BodyText"/>
    <w:link w:val="Heading8Char"/>
    <w:rsid w:val="00F46DA2"/>
    <w:pPr>
      <w:outlineLvl w:val="7"/>
    </w:pPr>
  </w:style>
  <w:style w:type="paragraph" w:styleId="Heading9">
    <w:name w:val="heading 9"/>
    <w:basedOn w:val="Normal"/>
    <w:next w:val="BodyText"/>
    <w:link w:val="Heading9Char"/>
    <w:rsid w:val="00F46DA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qFormat/>
    <w:rsid w:val="00F46DA2"/>
    <w:pPr>
      <w:jc w:val="both"/>
    </w:pPr>
    <w:rPr>
      <w:sz w:val="24"/>
      <w:szCs w:val="24"/>
    </w:rPr>
  </w:style>
  <w:style w:type="character" w:customStyle="1" w:styleId="HeaderChar">
    <w:name w:val="Header Char"/>
    <w:basedOn w:val="DefaultParagraphFont"/>
    <w:link w:val="Header"/>
    <w:uiPriority w:val="99"/>
    <w:rsid w:val="006A68DF"/>
    <w:rPr>
      <w:sz w:val="24"/>
      <w:szCs w:val="24"/>
      <w:lang w:val="ja-JP" w:eastAsia="ja-JP" w:bidi="ja-JP"/>
    </w:rPr>
  </w:style>
  <w:style w:type="paragraph" w:styleId="Footer">
    <w:name w:val="footer"/>
    <w:link w:val="FooterChar"/>
    <w:uiPriority w:val="99"/>
    <w:qFormat/>
    <w:rsid w:val="00F43C0C"/>
    <w:rPr>
      <w:rFonts w:cs="Times New Roman"/>
      <w:sz w:val="16"/>
      <w:szCs w:val="16"/>
    </w:rPr>
  </w:style>
  <w:style w:type="character" w:customStyle="1" w:styleId="FooterChar">
    <w:name w:val="Footer Char"/>
    <w:basedOn w:val="DefaultParagraphFont"/>
    <w:link w:val="Footer"/>
    <w:uiPriority w:val="99"/>
    <w:rsid w:val="006A68DF"/>
    <w:rPr>
      <w:rFonts w:cs="Times New Roman"/>
      <w:sz w:val="16"/>
      <w:szCs w:val="16"/>
      <w:lang w:bidi="ja-JP"/>
    </w:rPr>
  </w:style>
  <w:style w:type="paragraph" w:customStyle="1" w:styleId="LegalEntity">
    <w:name w:val="LegalEntity"/>
    <w:next w:val="LegalEntityNB"/>
    <w:rsid w:val="00F46DA2"/>
    <w:pPr>
      <w:spacing w:line="288" w:lineRule="auto"/>
    </w:pPr>
    <w:rPr>
      <w:rFonts w:ascii="Arial Black" w:hAnsi="Arial Black"/>
      <w:bCs/>
      <w:caps/>
      <w:spacing w:val="6"/>
      <w:sz w:val="14"/>
      <w:szCs w:val="14"/>
    </w:rPr>
  </w:style>
  <w:style w:type="paragraph" w:customStyle="1" w:styleId="LegalEntityNB">
    <w:name w:val="LegalEntityNB"/>
    <w:basedOn w:val="LegalEntity"/>
    <w:next w:val="Normal"/>
    <w:semiHidden/>
    <w:rsid w:val="00F46DA2"/>
    <w:rPr>
      <w:rFonts w:ascii="Arial" w:hAnsi="Arial"/>
      <w:bCs w:val="0"/>
    </w:rPr>
  </w:style>
  <w:style w:type="paragraph" w:customStyle="1" w:styleId="AddressBreak">
    <w:name w:val="AddressBreak"/>
    <w:next w:val="Normal"/>
    <w:semiHidden/>
    <w:rsid w:val="00F46DA2"/>
    <w:rPr>
      <w:rFonts w:ascii="Arial" w:hAnsi="Arial"/>
      <w:sz w:val="8"/>
      <w:szCs w:val="8"/>
    </w:rPr>
  </w:style>
  <w:style w:type="paragraph" w:customStyle="1" w:styleId="Addressee">
    <w:name w:val="Addressee"/>
    <w:basedOn w:val="Normal"/>
    <w:rsid w:val="00F46DA2"/>
    <w:pPr>
      <w:spacing w:after="0"/>
      <w:jc w:val="left"/>
    </w:pPr>
  </w:style>
  <w:style w:type="paragraph" w:customStyle="1" w:styleId="BGHStandard">
    <w:name w:val="BGH Standard"/>
    <w:basedOn w:val="Normal"/>
    <w:semiHidden/>
    <w:unhideWhenUsed/>
    <w:rsid w:val="00F46DA2"/>
    <w:pPr>
      <w:spacing w:line="360" w:lineRule="atLeast"/>
      <w:ind w:left="1985"/>
    </w:pPr>
  </w:style>
  <w:style w:type="paragraph" w:styleId="BodyText">
    <w:name w:val="Body Text"/>
    <w:basedOn w:val="Normal"/>
    <w:link w:val="BodyTextChar"/>
    <w:qFormat/>
    <w:rsid w:val="00F46DA2"/>
  </w:style>
  <w:style w:type="character" w:customStyle="1" w:styleId="BodyTextChar">
    <w:name w:val="Body Text Char"/>
    <w:basedOn w:val="DefaultParagraphFont"/>
    <w:link w:val="BodyText"/>
    <w:rsid w:val="00F46DA2"/>
    <w:rPr>
      <w:rFonts w:ascii="Times New Roman" w:eastAsia="SimSun" w:hAnsi="Times New Roman" w:cs="Simplified Arabic"/>
      <w:sz w:val="24"/>
      <w:szCs w:val="24"/>
      <w:lang w:eastAsia="ja-JP" w:bidi="ja-JP"/>
    </w:rPr>
  </w:style>
  <w:style w:type="paragraph" w:customStyle="1" w:styleId="BodyText1">
    <w:name w:val="Body Text 1"/>
    <w:basedOn w:val="Normal"/>
    <w:qFormat/>
    <w:rsid w:val="00F46DA2"/>
    <w:pPr>
      <w:ind w:left="720"/>
    </w:pPr>
  </w:style>
  <w:style w:type="paragraph" w:styleId="BodyText2">
    <w:name w:val="Body Text 2"/>
    <w:basedOn w:val="Normal"/>
    <w:link w:val="BodyText2Char"/>
    <w:qFormat/>
    <w:rsid w:val="00F46DA2"/>
    <w:pPr>
      <w:ind w:left="1440"/>
    </w:pPr>
  </w:style>
  <w:style w:type="character" w:customStyle="1" w:styleId="BodyText2Char">
    <w:name w:val="Body Text 2 Char"/>
    <w:basedOn w:val="DefaultParagraphFont"/>
    <w:link w:val="BodyText2"/>
    <w:rsid w:val="00F46DA2"/>
    <w:rPr>
      <w:rFonts w:ascii="Times New Roman" w:eastAsia="SimSun" w:hAnsi="Times New Roman" w:cs="Simplified Arabic"/>
      <w:sz w:val="24"/>
      <w:szCs w:val="24"/>
      <w:lang w:eastAsia="ja-JP" w:bidi="ja-JP"/>
    </w:rPr>
  </w:style>
  <w:style w:type="paragraph" w:styleId="BodyText3">
    <w:name w:val="Body Text 3"/>
    <w:basedOn w:val="Normal"/>
    <w:link w:val="BodyText3Char"/>
    <w:qFormat/>
    <w:rsid w:val="00F46DA2"/>
    <w:pPr>
      <w:ind w:left="2160"/>
    </w:pPr>
  </w:style>
  <w:style w:type="character" w:customStyle="1" w:styleId="BodyText3Char">
    <w:name w:val="Body Text 3 Char"/>
    <w:basedOn w:val="DefaultParagraphFont"/>
    <w:link w:val="BodyText3"/>
    <w:rsid w:val="00F46DA2"/>
    <w:rPr>
      <w:rFonts w:ascii="Times New Roman" w:eastAsia="SimSun" w:hAnsi="Times New Roman" w:cs="Simplified Arabic"/>
      <w:sz w:val="24"/>
      <w:szCs w:val="24"/>
      <w:lang w:eastAsia="ja-JP" w:bidi="ja-JP"/>
    </w:rPr>
  </w:style>
  <w:style w:type="paragraph" w:customStyle="1" w:styleId="BodyText4">
    <w:name w:val="Body Text 4"/>
    <w:basedOn w:val="Normal"/>
    <w:rsid w:val="00F46DA2"/>
    <w:pPr>
      <w:ind w:left="2880"/>
    </w:pPr>
  </w:style>
  <w:style w:type="paragraph" w:customStyle="1" w:styleId="BodyText5">
    <w:name w:val="Body Text 5"/>
    <w:basedOn w:val="Normal"/>
    <w:rsid w:val="00F46DA2"/>
    <w:pPr>
      <w:ind w:left="3600"/>
    </w:pPr>
  </w:style>
  <w:style w:type="paragraph" w:customStyle="1" w:styleId="BodyText6">
    <w:name w:val="Body Text 6"/>
    <w:basedOn w:val="Normal"/>
    <w:rsid w:val="00F46DA2"/>
    <w:pPr>
      <w:ind w:left="4320"/>
    </w:pPr>
  </w:style>
  <w:style w:type="paragraph" w:customStyle="1" w:styleId="BodyText7">
    <w:name w:val="Body Text 7"/>
    <w:basedOn w:val="Normal"/>
    <w:rsid w:val="00F46DA2"/>
    <w:pPr>
      <w:ind w:left="5041"/>
    </w:pPr>
  </w:style>
  <w:style w:type="paragraph" w:styleId="BodyTextFirstIndent">
    <w:name w:val="Body Text First Indent"/>
    <w:basedOn w:val="BodyText"/>
    <w:link w:val="BodyTextFirstIndentChar"/>
    <w:qFormat/>
    <w:rsid w:val="00F46DA2"/>
    <w:pPr>
      <w:ind w:firstLine="720"/>
    </w:pPr>
  </w:style>
  <w:style w:type="character" w:customStyle="1" w:styleId="BodyTextFirstIndentChar">
    <w:name w:val="Body Text First Indent Char"/>
    <w:basedOn w:val="BodyTextChar"/>
    <w:link w:val="BodyTextFirstIndent"/>
    <w:rsid w:val="00F46DA2"/>
    <w:rPr>
      <w:rFonts w:ascii="Times New Roman" w:eastAsia="SimSun" w:hAnsi="Times New Roman" w:cs="Simplified Arabic"/>
      <w:sz w:val="24"/>
      <w:szCs w:val="24"/>
      <w:lang w:eastAsia="ja-JP" w:bidi="ja-JP"/>
    </w:rPr>
  </w:style>
  <w:style w:type="paragraph" w:styleId="BodyTextIndent">
    <w:name w:val="Body Text Indent"/>
    <w:basedOn w:val="Normal"/>
    <w:link w:val="BodyTextIndentChar"/>
    <w:uiPriority w:val="99"/>
    <w:semiHidden/>
    <w:unhideWhenUsed/>
    <w:rsid w:val="00F46DA2"/>
    <w:pPr>
      <w:spacing w:after="120"/>
      <w:ind w:left="283"/>
    </w:pPr>
  </w:style>
  <w:style w:type="character" w:customStyle="1" w:styleId="BodyTextIndentChar">
    <w:name w:val="Body Text Indent Char"/>
    <w:basedOn w:val="DefaultParagraphFont"/>
    <w:link w:val="BodyTextIndent"/>
    <w:uiPriority w:val="99"/>
    <w:semiHidden/>
    <w:rsid w:val="00F46DA2"/>
    <w:rPr>
      <w:rFonts w:ascii="Times New Roman" w:eastAsia="SimSun" w:hAnsi="Times New Roman" w:cs="Simplified Arabic"/>
      <w:sz w:val="24"/>
      <w:szCs w:val="24"/>
      <w:lang w:bidi="ja-JP"/>
    </w:rPr>
  </w:style>
  <w:style w:type="paragraph" w:styleId="BodyTextFirstIndent2">
    <w:name w:val="Body Text First Indent 2"/>
    <w:basedOn w:val="BodyTextFirstIndent"/>
    <w:link w:val="BodyTextFirstIndent2Char"/>
    <w:qFormat/>
    <w:rsid w:val="00F46DA2"/>
    <w:pPr>
      <w:ind w:firstLine="1440"/>
    </w:pPr>
  </w:style>
  <w:style w:type="character" w:customStyle="1" w:styleId="BodyTextFirstIndent2Char">
    <w:name w:val="Body Text First Indent 2 Char"/>
    <w:basedOn w:val="BodyTextIndentChar"/>
    <w:link w:val="BodyTextFirstIndent2"/>
    <w:rsid w:val="00F46DA2"/>
    <w:rPr>
      <w:rFonts w:ascii="Times New Roman" w:eastAsia="SimSun" w:hAnsi="Times New Roman" w:cs="Simplified Arabic"/>
      <w:sz w:val="24"/>
      <w:szCs w:val="24"/>
      <w:lang w:eastAsia="ja-JP" w:bidi="ja-JP"/>
    </w:rPr>
  </w:style>
  <w:style w:type="character" w:styleId="CommentReference">
    <w:name w:val="annotation reference"/>
    <w:basedOn w:val="DefaultParagraphFont"/>
    <w:uiPriority w:val="99"/>
    <w:semiHidden/>
    <w:unhideWhenUsed/>
    <w:rsid w:val="00203116"/>
    <w:rPr>
      <w:sz w:val="16"/>
      <w:szCs w:val="16"/>
    </w:rPr>
  </w:style>
  <w:style w:type="paragraph" w:styleId="CommentText">
    <w:name w:val="annotation text"/>
    <w:basedOn w:val="Normal"/>
    <w:link w:val="CommentTextChar"/>
    <w:uiPriority w:val="99"/>
    <w:semiHidden/>
    <w:unhideWhenUsed/>
    <w:rsid w:val="00203116"/>
    <w:pPr>
      <w:spacing w:line="240" w:lineRule="auto"/>
    </w:pPr>
    <w:rPr>
      <w:sz w:val="20"/>
      <w:szCs w:val="20"/>
    </w:rPr>
  </w:style>
  <w:style w:type="character" w:customStyle="1" w:styleId="CommentTextChar">
    <w:name w:val="Comment Text Char"/>
    <w:basedOn w:val="DefaultParagraphFont"/>
    <w:link w:val="CommentText"/>
    <w:uiPriority w:val="99"/>
    <w:semiHidden/>
    <w:rsid w:val="00F46DA2"/>
    <w:rPr>
      <w:rFonts w:ascii="Times New Roman" w:eastAsia="SimSun" w:hAnsi="Times New Roman" w:cs="Simplified Arabic"/>
      <w:sz w:val="20"/>
      <w:szCs w:val="20"/>
      <w:lang w:bidi="ja-JP"/>
    </w:rPr>
  </w:style>
  <w:style w:type="paragraph" w:styleId="CommentSubject">
    <w:name w:val="annotation subject"/>
    <w:basedOn w:val="CommentText"/>
    <w:next w:val="CommentText"/>
    <w:link w:val="CommentSubjectChar"/>
    <w:uiPriority w:val="99"/>
    <w:semiHidden/>
    <w:unhideWhenUsed/>
    <w:rsid w:val="00F46DA2"/>
    <w:rPr>
      <w:b/>
      <w:bCs/>
    </w:rPr>
  </w:style>
  <w:style w:type="character" w:customStyle="1" w:styleId="CommentSubjectChar">
    <w:name w:val="Comment Subject Char"/>
    <w:basedOn w:val="CommentTextChar"/>
    <w:link w:val="CommentSubject"/>
    <w:uiPriority w:val="99"/>
    <w:semiHidden/>
    <w:rsid w:val="00F46DA2"/>
    <w:rPr>
      <w:rFonts w:ascii="Times New Roman" w:eastAsia="SimSun" w:hAnsi="Times New Roman" w:cs="Simplified Arabic"/>
      <w:b/>
      <w:bCs/>
      <w:sz w:val="20"/>
      <w:szCs w:val="20"/>
      <w:lang w:bidi="ja-JP"/>
    </w:rPr>
  </w:style>
  <w:style w:type="paragraph" w:customStyle="1" w:styleId="DocLabels">
    <w:name w:val="DocLabels"/>
    <w:semiHidden/>
    <w:rsid w:val="00F46DA2"/>
    <w:pPr>
      <w:spacing w:before="100"/>
    </w:pPr>
    <w:rPr>
      <w:rFonts w:ascii="Arial" w:hAnsi="Arial"/>
      <w:caps/>
      <w:spacing w:val="12"/>
      <w:sz w:val="13"/>
      <w:szCs w:val="13"/>
    </w:rPr>
  </w:style>
  <w:style w:type="paragraph" w:customStyle="1" w:styleId="DocType">
    <w:name w:val="DocType"/>
    <w:next w:val="Normal"/>
    <w:semiHidden/>
    <w:rsid w:val="00F46DA2"/>
    <w:pPr>
      <w:spacing w:before="240" w:after="240"/>
    </w:pPr>
    <w:rPr>
      <w:rFonts w:ascii="Arial" w:hAnsi="Arial"/>
      <w:b/>
      <w:bCs/>
      <w:sz w:val="24"/>
      <w:szCs w:val="24"/>
    </w:rPr>
  </w:style>
  <w:style w:type="character" w:styleId="Emphasis">
    <w:name w:val="Emphasis"/>
    <w:uiPriority w:val="20"/>
    <w:qFormat/>
    <w:rsid w:val="00F46DA2"/>
    <w:rPr>
      <w:i/>
      <w:iCs/>
    </w:rPr>
  </w:style>
  <w:style w:type="paragraph" w:styleId="EndnoteText">
    <w:name w:val="endnote text"/>
    <w:basedOn w:val="Normal"/>
    <w:next w:val="NoteContinuation"/>
    <w:link w:val="EndnoteTextChar"/>
    <w:uiPriority w:val="1"/>
    <w:qFormat/>
    <w:rsid w:val="0049143A"/>
    <w:pPr>
      <w:spacing w:after="120"/>
      <w:ind w:left="340" w:hanging="340"/>
    </w:pPr>
    <w:rPr>
      <w:sz w:val="20"/>
      <w:szCs w:val="20"/>
    </w:rPr>
  </w:style>
  <w:style w:type="character" w:customStyle="1" w:styleId="EndnoteTextChar">
    <w:name w:val="Endnote Text Char"/>
    <w:basedOn w:val="DefaultParagraphFont"/>
    <w:link w:val="EndnoteText"/>
    <w:uiPriority w:val="1"/>
    <w:rsid w:val="00F46DA2"/>
    <w:rPr>
      <w:lang w:bidi="ja-JP"/>
    </w:rPr>
  </w:style>
  <w:style w:type="paragraph" w:customStyle="1" w:styleId="Endnote">
    <w:name w:val="Endnote"/>
    <w:basedOn w:val="EndnoteText"/>
    <w:qFormat/>
    <w:rsid w:val="00F46DA2"/>
  </w:style>
  <w:style w:type="character" w:styleId="EndnoteReference">
    <w:name w:val="endnote reference"/>
    <w:basedOn w:val="DefaultParagraphFont"/>
    <w:uiPriority w:val="99"/>
    <w:qFormat/>
    <w:rsid w:val="00F46DA2"/>
    <w:rPr>
      <w:rFonts w:ascii="Times New Roman" w:eastAsia="SimSun" w:hAnsi="Times New Roman" w:cs="Simplified Arabic"/>
      <w:sz w:val="18"/>
      <w:szCs w:val="18"/>
      <w:vertAlign w:val="superscript"/>
      <w:lang w:val="ja-JP" w:bidi="ja-JP"/>
    </w:rPr>
  </w:style>
  <w:style w:type="paragraph" w:customStyle="1" w:styleId="FaxDetail">
    <w:name w:val="FaxDetail"/>
    <w:basedOn w:val="Normal"/>
    <w:semiHidden/>
    <w:qFormat/>
    <w:rsid w:val="00F46DA2"/>
    <w:pPr>
      <w:spacing w:after="40"/>
      <w:jc w:val="left"/>
    </w:pPr>
    <w:rPr>
      <w:sz w:val="21"/>
      <w:szCs w:val="21"/>
    </w:rPr>
  </w:style>
  <w:style w:type="paragraph" w:customStyle="1" w:styleId="FaxDetailRight">
    <w:name w:val="FaxDetailRight"/>
    <w:basedOn w:val="Normal"/>
    <w:semiHidden/>
    <w:qFormat/>
    <w:rsid w:val="00F46DA2"/>
    <w:pPr>
      <w:jc w:val="right"/>
    </w:pPr>
    <w:rPr>
      <w:rFonts w:cs="Times New Roman"/>
      <w:sz w:val="21"/>
      <w:szCs w:val="21"/>
    </w:rPr>
  </w:style>
  <w:style w:type="paragraph" w:customStyle="1" w:styleId="FooterRight">
    <w:name w:val="Footer Right"/>
    <w:basedOn w:val="Footer"/>
    <w:rsid w:val="00F46DA2"/>
    <w:pPr>
      <w:jc w:val="right"/>
    </w:pPr>
  </w:style>
  <w:style w:type="paragraph" w:styleId="FootnoteText">
    <w:name w:val="footnote text"/>
    <w:basedOn w:val="Normal"/>
    <w:next w:val="NoteContinuation"/>
    <w:link w:val="FootnoteTextChar"/>
    <w:uiPriority w:val="1"/>
    <w:qFormat/>
    <w:rsid w:val="0049143A"/>
    <w:pPr>
      <w:spacing w:after="120"/>
      <w:ind w:left="340" w:hanging="340"/>
    </w:pPr>
    <w:rPr>
      <w:sz w:val="20"/>
      <w:szCs w:val="20"/>
    </w:rPr>
  </w:style>
  <w:style w:type="character" w:customStyle="1" w:styleId="FootnoteTextChar">
    <w:name w:val="Footnote Text Char"/>
    <w:basedOn w:val="DefaultParagraphFont"/>
    <w:link w:val="FootnoteText"/>
    <w:uiPriority w:val="1"/>
    <w:rsid w:val="00F46DA2"/>
    <w:rPr>
      <w:lang w:bidi="ja-JP"/>
    </w:rPr>
  </w:style>
  <w:style w:type="paragraph" w:customStyle="1" w:styleId="Footnote">
    <w:name w:val="Footnote"/>
    <w:basedOn w:val="FootnoteText"/>
    <w:semiHidden/>
    <w:rsid w:val="00F46DA2"/>
    <w:pPr>
      <w:tabs>
        <w:tab w:val="left" w:pos="340"/>
      </w:tabs>
    </w:pPr>
  </w:style>
  <w:style w:type="character" w:styleId="FootnoteReference">
    <w:name w:val="footnote reference"/>
    <w:basedOn w:val="DefaultParagraphFont"/>
    <w:uiPriority w:val="99"/>
    <w:rsid w:val="00F46DA2"/>
    <w:rPr>
      <w:rFonts w:ascii="Times New Roman" w:eastAsia="SimSun" w:hAnsi="Times New Roman" w:cs="Simplified Arabic"/>
      <w:sz w:val="18"/>
      <w:szCs w:val="18"/>
      <w:vertAlign w:val="superscript"/>
      <w:lang w:bidi="ja-JP"/>
    </w:rPr>
  </w:style>
  <w:style w:type="character" w:customStyle="1" w:styleId="Heading1Char">
    <w:name w:val="Heading 1 Char"/>
    <w:basedOn w:val="DefaultParagraphFont"/>
    <w:link w:val="Heading1"/>
    <w:rsid w:val="00F46DA2"/>
    <w:rPr>
      <w:rFonts w:ascii="Times New Roman" w:eastAsia="SimSun" w:hAnsi="Times New Roman" w:cs="Simplified Arabic"/>
      <w:sz w:val="24"/>
      <w:szCs w:val="24"/>
      <w:lang w:bidi="ja-JP"/>
    </w:rPr>
  </w:style>
  <w:style w:type="character" w:customStyle="1" w:styleId="Heading2Char">
    <w:name w:val="Heading 2 Char"/>
    <w:basedOn w:val="DefaultParagraphFont"/>
    <w:link w:val="Heading2"/>
    <w:rsid w:val="00F46DA2"/>
    <w:rPr>
      <w:rFonts w:ascii="Times New Roman" w:eastAsia="SimSun" w:hAnsi="Times New Roman" w:cs="Simplified Arabic"/>
      <w:sz w:val="24"/>
      <w:szCs w:val="24"/>
      <w:lang w:bidi="ja-JP"/>
    </w:rPr>
  </w:style>
  <w:style w:type="character" w:customStyle="1" w:styleId="Heading3Char">
    <w:name w:val="Heading 3 Char"/>
    <w:basedOn w:val="DefaultParagraphFont"/>
    <w:link w:val="Heading3"/>
    <w:rsid w:val="00F46DA2"/>
    <w:rPr>
      <w:rFonts w:ascii="Times New Roman" w:eastAsia="SimSun" w:hAnsi="Times New Roman" w:cs="Simplified Arabic"/>
      <w:sz w:val="24"/>
      <w:szCs w:val="24"/>
      <w:lang w:bidi="ja-JP"/>
    </w:rPr>
  </w:style>
  <w:style w:type="character" w:customStyle="1" w:styleId="Heading4Char">
    <w:name w:val="Heading 4 Char"/>
    <w:basedOn w:val="DefaultParagraphFont"/>
    <w:link w:val="Heading4"/>
    <w:rsid w:val="00F46DA2"/>
    <w:rPr>
      <w:rFonts w:ascii="Times New Roman" w:eastAsia="SimSun" w:hAnsi="Times New Roman" w:cs="Simplified Arabic"/>
      <w:sz w:val="24"/>
      <w:szCs w:val="24"/>
      <w:lang w:bidi="ja-JP"/>
    </w:rPr>
  </w:style>
  <w:style w:type="character" w:customStyle="1" w:styleId="Heading5Char">
    <w:name w:val="Heading 5 Char"/>
    <w:basedOn w:val="DefaultParagraphFont"/>
    <w:link w:val="Heading5"/>
    <w:rsid w:val="00F46DA2"/>
    <w:rPr>
      <w:rFonts w:ascii="Times New Roman" w:eastAsia="SimSun" w:hAnsi="Times New Roman" w:cs="Simplified Arabic"/>
      <w:sz w:val="24"/>
      <w:szCs w:val="24"/>
      <w:lang w:bidi="ja-JP"/>
    </w:rPr>
  </w:style>
  <w:style w:type="character" w:customStyle="1" w:styleId="Heading6Char">
    <w:name w:val="Heading 6 Char"/>
    <w:basedOn w:val="DefaultParagraphFont"/>
    <w:link w:val="Heading6"/>
    <w:rsid w:val="00F46DA2"/>
    <w:rPr>
      <w:rFonts w:ascii="Times New Roman" w:eastAsia="SimSun" w:hAnsi="Times New Roman" w:cs="Simplified Arabic"/>
      <w:sz w:val="24"/>
      <w:szCs w:val="24"/>
      <w:lang w:bidi="ja-JP"/>
    </w:rPr>
  </w:style>
  <w:style w:type="character" w:customStyle="1" w:styleId="Heading7Char">
    <w:name w:val="Heading 7 Char"/>
    <w:basedOn w:val="DefaultParagraphFont"/>
    <w:link w:val="Heading7"/>
    <w:rsid w:val="00F46DA2"/>
    <w:rPr>
      <w:rFonts w:ascii="Times New Roman" w:eastAsia="SimSun" w:hAnsi="Times New Roman" w:cs="Simplified Arabic"/>
      <w:sz w:val="24"/>
      <w:szCs w:val="24"/>
      <w:lang w:bidi="ja-JP"/>
    </w:rPr>
  </w:style>
  <w:style w:type="character" w:customStyle="1" w:styleId="Heading8Char">
    <w:name w:val="Heading 8 Char"/>
    <w:basedOn w:val="DefaultParagraphFont"/>
    <w:link w:val="Heading8"/>
    <w:rsid w:val="00F46DA2"/>
    <w:rPr>
      <w:rFonts w:ascii="Times New Roman" w:eastAsia="SimSun" w:hAnsi="Times New Roman" w:cs="Simplified Arabic"/>
      <w:sz w:val="24"/>
      <w:szCs w:val="24"/>
      <w:lang w:bidi="ja-JP"/>
    </w:rPr>
  </w:style>
  <w:style w:type="character" w:customStyle="1" w:styleId="Heading9Char">
    <w:name w:val="Heading 9 Char"/>
    <w:basedOn w:val="DefaultParagraphFont"/>
    <w:link w:val="Heading9"/>
    <w:rsid w:val="00F46DA2"/>
    <w:rPr>
      <w:rFonts w:ascii="Times New Roman" w:eastAsia="SimSun" w:hAnsi="Times New Roman" w:cs="Simplified Arabic"/>
      <w:sz w:val="24"/>
      <w:szCs w:val="24"/>
      <w:lang w:bidi="ja-JP"/>
    </w:rPr>
  </w:style>
  <w:style w:type="paragraph" w:customStyle="1" w:styleId="LetterDetail">
    <w:name w:val="LetterDetail"/>
    <w:basedOn w:val="Normal"/>
    <w:semiHidden/>
    <w:rsid w:val="00F46DA2"/>
    <w:pPr>
      <w:spacing w:after="40"/>
      <w:jc w:val="right"/>
    </w:pPr>
    <w:rPr>
      <w:sz w:val="18"/>
      <w:szCs w:val="18"/>
    </w:rPr>
  </w:style>
  <w:style w:type="paragraph" w:styleId="ListParagraph">
    <w:name w:val="List Paragraph"/>
    <w:basedOn w:val="Normal"/>
    <w:uiPriority w:val="34"/>
    <w:unhideWhenUsed/>
    <w:qFormat/>
    <w:rsid w:val="00F46DA2"/>
    <w:pPr>
      <w:ind w:left="720"/>
      <w:contextualSpacing/>
    </w:pPr>
  </w:style>
  <w:style w:type="paragraph" w:styleId="NoSpacing">
    <w:name w:val="No Spacing"/>
    <w:basedOn w:val="Normal"/>
    <w:uiPriority w:val="1"/>
    <w:unhideWhenUsed/>
    <w:qFormat/>
    <w:rsid w:val="00F46DA2"/>
    <w:pPr>
      <w:spacing w:after="0" w:line="240" w:lineRule="auto"/>
    </w:pPr>
  </w:style>
  <w:style w:type="paragraph" w:customStyle="1" w:styleId="NormalBold">
    <w:name w:val="NormalBold"/>
    <w:basedOn w:val="Normal"/>
    <w:next w:val="Normal"/>
    <w:uiPriority w:val="1"/>
    <w:qFormat/>
    <w:rsid w:val="00F46DA2"/>
    <w:rPr>
      <w:b/>
      <w:bCs/>
    </w:rPr>
  </w:style>
  <w:style w:type="paragraph" w:customStyle="1" w:styleId="NormalBoldNS">
    <w:name w:val="NormalBoldNS"/>
    <w:basedOn w:val="Normal"/>
    <w:next w:val="Normal"/>
    <w:uiPriority w:val="1"/>
    <w:qFormat/>
    <w:rsid w:val="00F46DA2"/>
    <w:pPr>
      <w:spacing w:after="0"/>
      <w:jc w:val="left"/>
    </w:pPr>
    <w:rPr>
      <w:b/>
      <w:bCs/>
    </w:rPr>
  </w:style>
  <w:style w:type="paragraph" w:customStyle="1" w:styleId="NormalLeft">
    <w:name w:val="NormalLeft"/>
    <w:basedOn w:val="Normal"/>
    <w:next w:val="Normal"/>
    <w:qFormat/>
    <w:rsid w:val="00F46DA2"/>
    <w:pPr>
      <w:jc w:val="left"/>
    </w:pPr>
  </w:style>
  <w:style w:type="paragraph" w:customStyle="1" w:styleId="NormalNS">
    <w:name w:val="NormalNS"/>
    <w:basedOn w:val="Normal"/>
    <w:uiPriority w:val="1"/>
    <w:qFormat/>
    <w:rsid w:val="00F46DA2"/>
    <w:pPr>
      <w:spacing w:after="0"/>
    </w:pPr>
  </w:style>
  <w:style w:type="paragraph" w:customStyle="1" w:styleId="NormalRight">
    <w:name w:val="NormalRight"/>
    <w:basedOn w:val="NormalNS"/>
    <w:uiPriority w:val="1"/>
    <w:qFormat/>
    <w:rsid w:val="00F46DA2"/>
    <w:pPr>
      <w:jc w:val="right"/>
    </w:pPr>
  </w:style>
  <w:style w:type="paragraph" w:customStyle="1" w:styleId="NormalRight12">
    <w:name w:val="NormalRight12"/>
    <w:basedOn w:val="NormalRight"/>
    <w:qFormat/>
    <w:rsid w:val="00F46DA2"/>
    <w:pPr>
      <w:spacing w:after="240"/>
    </w:pPr>
  </w:style>
  <w:style w:type="paragraph" w:customStyle="1" w:styleId="NoteContinuation">
    <w:name w:val="Note Continuation"/>
    <w:basedOn w:val="Normal"/>
    <w:qFormat/>
    <w:rsid w:val="00F46DA2"/>
    <w:pPr>
      <w:spacing w:after="120"/>
      <w:ind w:left="340"/>
    </w:pPr>
    <w:rPr>
      <w:sz w:val="20"/>
      <w:szCs w:val="20"/>
    </w:rPr>
  </w:style>
  <w:style w:type="paragraph" w:customStyle="1" w:styleId="OfficeAddress">
    <w:name w:val="OfficeAddress"/>
    <w:next w:val="Normal"/>
    <w:semiHidden/>
    <w:rsid w:val="00F46DA2"/>
    <w:pPr>
      <w:spacing w:line="288" w:lineRule="auto"/>
    </w:pPr>
    <w:rPr>
      <w:rFonts w:ascii="Arial" w:hAnsi="Arial"/>
      <w:caps/>
      <w:spacing w:val="10"/>
      <w:sz w:val="14"/>
      <w:szCs w:val="14"/>
    </w:rPr>
  </w:style>
  <w:style w:type="paragraph" w:customStyle="1" w:styleId="OfficeSecondaryAddress">
    <w:name w:val="OfficeSecondaryAddress"/>
    <w:basedOn w:val="OfficeAddress"/>
    <w:next w:val="OfficeAddress"/>
    <w:semiHidden/>
    <w:rsid w:val="00F46DA2"/>
  </w:style>
  <w:style w:type="paragraph" w:customStyle="1" w:styleId="OptionLabel">
    <w:name w:val="OptionLabel"/>
    <w:semiHidden/>
    <w:rsid w:val="00F46DA2"/>
    <w:pPr>
      <w:spacing w:line="288" w:lineRule="auto"/>
    </w:pPr>
    <w:rPr>
      <w:b/>
      <w:bCs/>
      <w:sz w:val="24"/>
      <w:szCs w:val="24"/>
    </w:rPr>
  </w:style>
  <w:style w:type="character" w:styleId="PageNumber">
    <w:name w:val="page number"/>
    <w:basedOn w:val="DefaultParagraphFont"/>
    <w:uiPriority w:val="99"/>
    <w:rsid w:val="00F46DA2"/>
    <w:rPr>
      <w:rFonts w:ascii="Times New Roman" w:eastAsia="SimSun" w:hAnsi="Times New Roman" w:cs="Times New Roman"/>
      <w:b w:val="0"/>
      <w:sz w:val="24"/>
      <w:szCs w:val="24"/>
      <w:lang w:val="ja-JP" w:bidi="ja-JP"/>
    </w:rPr>
  </w:style>
  <w:style w:type="paragraph" w:customStyle="1" w:styleId="ParagraphL9">
    <w:name w:val="Paragraph L9"/>
    <w:basedOn w:val="Normal"/>
    <w:link w:val="ParagraphL9Char"/>
    <w:rsid w:val="00B000E4"/>
    <w:pPr>
      <w:numPr>
        <w:ilvl w:val="8"/>
        <w:numId w:val="10"/>
      </w:numPr>
      <w:outlineLvl w:val="8"/>
    </w:pPr>
  </w:style>
  <w:style w:type="character" w:customStyle="1" w:styleId="ParagraphL9Char">
    <w:name w:val="Paragraph L9 Char"/>
    <w:basedOn w:val="DefaultParagraphFont"/>
    <w:link w:val="ParagraphL9"/>
    <w:rsid w:val="00B000E4"/>
    <w:rPr>
      <w:sz w:val="24"/>
      <w:szCs w:val="24"/>
      <w:lang w:bidi="ja-JP"/>
    </w:rPr>
  </w:style>
  <w:style w:type="paragraph" w:customStyle="1" w:styleId="ParagraphL8">
    <w:name w:val="Paragraph L8"/>
    <w:basedOn w:val="Normal"/>
    <w:link w:val="ParagraphL8Char"/>
    <w:rsid w:val="00B000E4"/>
    <w:pPr>
      <w:numPr>
        <w:ilvl w:val="7"/>
        <w:numId w:val="10"/>
      </w:numPr>
      <w:outlineLvl w:val="7"/>
    </w:pPr>
  </w:style>
  <w:style w:type="character" w:customStyle="1" w:styleId="ParagraphL8Char">
    <w:name w:val="Paragraph L8 Char"/>
    <w:basedOn w:val="DefaultParagraphFont"/>
    <w:link w:val="ParagraphL8"/>
    <w:rsid w:val="00B000E4"/>
    <w:rPr>
      <w:sz w:val="24"/>
      <w:szCs w:val="24"/>
      <w:lang w:bidi="ja-JP"/>
    </w:rPr>
  </w:style>
  <w:style w:type="paragraph" w:customStyle="1" w:styleId="ParagraphL7">
    <w:name w:val="Paragraph L7"/>
    <w:basedOn w:val="Normal"/>
    <w:link w:val="ParagraphL7Char"/>
    <w:rsid w:val="00B000E4"/>
    <w:pPr>
      <w:numPr>
        <w:ilvl w:val="6"/>
        <w:numId w:val="10"/>
      </w:numPr>
      <w:outlineLvl w:val="6"/>
    </w:pPr>
  </w:style>
  <w:style w:type="character" w:customStyle="1" w:styleId="ParagraphL7Char">
    <w:name w:val="Paragraph L7 Char"/>
    <w:basedOn w:val="DefaultParagraphFont"/>
    <w:link w:val="ParagraphL7"/>
    <w:rsid w:val="00B000E4"/>
    <w:rPr>
      <w:sz w:val="24"/>
      <w:szCs w:val="24"/>
      <w:lang w:bidi="ja-JP"/>
    </w:rPr>
  </w:style>
  <w:style w:type="paragraph" w:customStyle="1" w:styleId="ParagraphL6">
    <w:name w:val="Paragraph L6"/>
    <w:basedOn w:val="Normal"/>
    <w:link w:val="ParagraphL6Char"/>
    <w:rsid w:val="00B000E4"/>
    <w:pPr>
      <w:numPr>
        <w:ilvl w:val="5"/>
        <w:numId w:val="10"/>
      </w:numPr>
      <w:outlineLvl w:val="5"/>
    </w:pPr>
  </w:style>
  <w:style w:type="character" w:customStyle="1" w:styleId="ParagraphL6Char">
    <w:name w:val="Paragraph L6 Char"/>
    <w:basedOn w:val="DefaultParagraphFont"/>
    <w:link w:val="ParagraphL6"/>
    <w:rsid w:val="00B000E4"/>
    <w:rPr>
      <w:sz w:val="24"/>
      <w:szCs w:val="24"/>
      <w:lang w:bidi="ja-JP"/>
    </w:rPr>
  </w:style>
  <w:style w:type="paragraph" w:customStyle="1" w:styleId="ParagraphL5">
    <w:name w:val="Paragraph L5"/>
    <w:basedOn w:val="Normal"/>
    <w:next w:val="BodyText5"/>
    <w:link w:val="ParagraphL5Char"/>
    <w:rsid w:val="00B000E4"/>
    <w:pPr>
      <w:numPr>
        <w:ilvl w:val="4"/>
        <w:numId w:val="10"/>
      </w:numPr>
      <w:outlineLvl w:val="4"/>
    </w:pPr>
  </w:style>
  <w:style w:type="paragraph" w:customStyle="1" w:styleId="RecipientSP">
    <w:name w:val="RecipientSP"/>
    <w:semiHidden/>
    <w:rsid w:val="00F46DA2"/>
    <w:rPr>
      <w:sz w:val="2"/>
      <w:szCs w:val="2"/>
    </w:rPr>
  </w:style>
  <w:style w:type="paragraph" w:customStyle="1" w:styleId="Regulatory">
    <w:name w:val="Regulatory"/>
    <w:basedOn w:val="Normal"/>
    <w:next w:val="Footer"/>
    <w:semiHidden/>
    <w:rsid w:val="00F46DA2"/>
    <w:pPr>
      <w:jc w:val="left"/>
    </w:pPr>
    <w:rPr>
      <w:rFonts w:ascii="Arial" w:hAnsi="Arial"/>
      <w:caps/>
      <w:spacing w:val="8"/>
      <w:sz w:val="14"/>
      <w:szCs w:val="14"/>
    </w:rPr>
  </w:style>
  <w:style w:type="character" w:styleId="Strong">
    <w:name w:val="Strong"/>
    <w:uiPriority w:val="22"/>
    <w:rsid w:val="00F46DA2"/>
    <w:rPr>
      <w:b/>
      <w:bCs/>
    </w:rPr>
  </w:style>
  <w:style w:type="paragraph" w:styleId="Subtitle">
    <w:name w:val="Subtitle"/>
    <w:basedOn w:val="Normal"/>
    <w:next w:val="BodyText"/>
    <w:link w:val="SubtitleChar"/>
    <w:qFormat/>
    <w:rsid w:val="00F46DA2"/>
    <w:pPr>
      <w:numPr>
        <w:ilvl w:val="1"/>
      </w:numPr>
      <w:jc w:val="center"/>
    </w:pPr>
  </w:style>
  <w:style w:type="character" w:customStyle="1" w:styleId="SubtitleChar">
    <w:name w:val="Subtitle Char"/>
    <w:basedOn w:val="DefaultParagraphFont"/>
    <w:link w:val="Subtitle"/>
    <w:rsid w:val="00F46DA2"/>
    <w:rPr>
      <w:rFonts w:ascii="Times New Roman" w:eastAsia="SimSun" w:hAnsi="Times New Roman" w:cs="Simplified Arabic"/>
      <w:sz w:val="24"/>
      <w:szCs w:val="24"/>
      <w:lang w:bidi="ja-JP"/>
    </w:rPr>
  </w:style>
  <w:style w:type="paragraph" w:customStyle="1" w:styleId="SubTitle0">
    <w:name w:val="SubTitle0"/>
    <w:basedOn w:val="Subtitle"/>
    <w:qFormat/>
    <w:rsid w:val="00F46DA2"/>
    <w:pPr>
      <w:spacing w:after="0"/>
    </w:pPr>
  </w:style>
  <w:style w:type="table" w:styleId="TableGrid">
    <w:name w:val="Table Grid"/>
    <w:basedOn w:val="TableNormal"/>
    <w:uiPriority w:val="59"/>
    <w:rsid w:val="00F46DA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itle">
    <w:name w:val="Title"/>
    <w:basedOn w:val="Normal"/>
    <w:next w:val="BodyText"/>
    <w:link w:val="TitleChar"/>
    <w:qFormat/>
    <w:rsid w:val="00F46DA2"/>
    <w:pPr>
      <w:jc w:val="center"/>
    </w:pPr>
    <w:rPr>
      <w:b/>
      <w:bCs/>
    </w:rPr>
  </w:style>
  <w:style w:type="character" w:customStyle="1" w:styleId="TitleChar">
    <w:name w:val="Title Char"/>
    <w:basedOn w:val="DefaultParagraphFont"/>
    <w:link w:val="Title"/>
    <w:rsid w:val="00F46DA2"/>
    <w:rPr>
      <w:rFonts w:ascii="Times New Roman" w:eastAsia="SimSun" w:hAnsi="Times New Roman" w:cs="Simplified Arabic"/>
      <w:b/>
      <w:bCs/>
      <w:sz w:val="24"/>
      <w:szCs w:val="24"/>
      <w:lang w:bidi="ja-JP"/>
    </w:rPr>
  </w:style>
  <w:style w:type="paragraph" w:customStyle="1" w:styleId="WebAddress">
    <w:name w:val="WebAddress"/>
    <w:next w:val="Normal"/>
    <w:semiHidden/>
    <w:rsid w:val="00F46DA2"/>
    <w:pPr>
      <w:spacing w:before="80" w:line="288" w:lineRule="auto"/>
    </w:pPr>
    <w:rPr>
      <w:rFonts w:ascii="Arial" w:hAnsi="Arial"/>
      <w:sz w:val="14"/>
      <w:szCs w:val="14"/>
    </w:rPr>
  </w:style>
  <w:style w:type="paragraph" w:styleId="BalloonText">
    <w:name w:val="Balloon Text"/>
    <w:basedOn w:val="Normal"/>
    <w:link w:val="BalloonTextChar"/>
    <w:uiPriority w:val="99"/>
    <w:semiHidden/>
    <w:unhideWhenUsed/>
    <w:rsid w:val="006C4A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4A6A"/>
    <w:rPr>
      <w:rFonts w:ascii="Tahoma" w:eastAsia="SimSun" w:hAnsi="Tahoma" w:cs="Tahoma"/>
      <w:sz w:val="16"/>
      <w:szCs w:val="16"/>
      <w:lang w:bidi="ja-JP"/>
    </w:rPr>
  </w:style>
  <w:style w:type="paragraph" w:customStyle="1" w:styleId="NormalLeftSNS">
    <w:name w:val="NormalLeftSNS"/>
    <w:basedOn w:val="Normal"/>
    <w:qFormat/>
    <w:rsid w:val="00A134DB"/>
    <w:pPr>
      <w:spacing w:after="0" w:line="240" w:lineRule="auto"/>
      <w:jc w:val="left"/>
    </w:pPr>
  </w:style>
  <w:style w:type="paragraph" w:customStyle="1" w:styleId="ArabicWebAddress">
    <w:name w:val="Arabic WebAddress"/>
    <w:qFormat/>
    <w:rsid w:val="004C0417"/>
    <w:pPr>
      <w:snapToGrid w:val="0"/>
      <w:jc w:val="right"/>
    </w:pPr>
    <w:rPr>
      <w:rFonts w:ascii="Arial" w:hAnsi="Arial"/>
      <w:sz w:val="14"/>
      <w:szCs w:val="14"/>
    </w:rPr>
  </w:style>
  <w:style w:type="paragraph" w:customStyle="1" w:styleId="ArabicHeader">
    <w:name w:val="ArabicHeader"/>
    <w:qFormat/>
    <w:rsid w:val="004C0417"/>
    <w:pPr>
      <w:spacing w:line="180" w:lineRule="exact"/>
      <w:jc w:val="right"/>
    </w:pPr>
    <w:rPr>
      <w:rFonts w:asciiTheme="minorBidi" w:hAnsiTheme="minorBidi"/>
      <w:bCs/>
      <w:caps/>
      <w:spacing w:val="6"/>
      <w:sz w:val="14"/>
      <w:szCs w:val="14"/>
    </w:rPr>
  </w:style>
  <w:style w:type="paragraph" w:customStyle="1" w:styleId="ArabicReg">
    <w:name w:val="ArabicReg"/>
    <w:next w:val="Regulatory"/>
    <w:rsid w:val="00C51336"/>
    <w:rPr>
      <w:rFonts w:ascii="Simplified Arabic" w:hAnsi="Simplified Arabic"/>
      <w:caps/>
      <w:spacing w:val="8"/>
      <w:sz w:val="14"/>
      <w:szCs w:val="14"/>
    </w:rPr>
  </w:style>
  <w:style w:type="character" w:customStyle="1" w:styleId="ParagraphL5Char">
    <w:name w:val="Paragraph L5 Char"/>
    <w:basedOn w:val="DefaultParagraphFont"/>
    <w:link w:val="ParagraphL5"/>
    <w:rsid w:val="00B000E4"/>
    <w:rPr>
      <w:sz w:val="24"/>
      <w:szCs w:val="24"/>
      <w:lang w:bidi="ja-JP"/>
    </w:rPr>
  </w:style>
  <w:style w:type="paragraph" w:customStyle="1" w:styleId="ParagraphL4">
    <w:name w:val="Paragraph L4"/>
    <w:basedOn w:val="Normal"/>
    <w:next w:val="BodyText4"/>
    <w:link w:val="ParagraphL4Char"/>
    <w:rsid w:val="00B000E4"/>
    <w:pPr>
      <w:numPr>
        <w:ilvl w:val="3"/>
        <w:numId w:val="10"/>
      </w:numPr>
      <w:outlineLvl w:val="3"/>
    </w:pPr>
  </w:style>
  <w:style w:type="character" w:customStyle="1" w:styleId="ParagraphL4Char">
    <w:name w:val="Paragraph L4 Char"/>
    <w:basedOn w:val="DefaultParagraphFont"/>
    <w:link w:val="ParagraphL4"/>
    <w:rsid w:val="00B000E4"/>
    <w:rPr>
      <w:sz w:val="24"/>
      <w:szCs w:val="24"/>
      <w:lang w:bidi="ja-JP"/>
    </w:rPr>
  </w:style>
  <w:style w:type="paragraph" w:customStyle="1" w:styleId="ParagraphL3">
    <w:name w:val="Paragraph L3"/>
    <w:basedOn w:val="Normal"/>
    <w:next w:val="BodyText3"/>
    <w:link w:val="ParagraphL3Char"/>
    <w:rsid w:val="00B000E4"/>
    <w:pPr>
      <w:numPr>
        <w:ilvl w:val="2"/>
        <w:numId w:val="10"/>
      </w:numPr>
      <w:outlineLvl w:val="2"/>
    </w:pPr>
  </w:style>
  <w:style w:type="character" w:customStyle="1" w:styleId="ParagraphL3Char">
    <w:name w:val="Paragraph L3 Char"/>
    <w:basedOn w:val="DefaultParagraphFont"/>
    <w:link w:val="ParagraphL3"/>
    <w:rsid w:val="00B000E4"/>
    <w:rPr>
      <w:sz w:val="24"/>
      <w:szCs w:val="24"/>
      <w:lang w:bidi="ja-JP"/>
    </w:rPr>
  </w:style>
  <w:style w:type="paragraph" w:customStyle="1" w:styleId="ParagraphL2">
    <w:name w:val="Paragraph L2"/>
    <w:basedOn w:val="Normal"/>
    <w:next w:val="BodyText2"/>
    <w:link w:val="ParagraphL2Char"/>
    <w:rsid w:val="00B000E4"/>
    <w:pPr>
      <w:numPr>
        <w:ilvl w:val="1"/>
        <w:numId w:val="10"/>
      </w:numPr>
      <w:outlineLvl w:val="1"/>
    </w:pPr>
  </w:style>
  <w:style w:type="character" w:customStyle="1" w:styleId="ParagraphL2Char">
    <w:name w:val="Paragraph L2 Char"/>
    <w:basedOn w:val="DefaultParagraphFont"/>
    <w:link w:val="ParagraphL2"/>
    <w:rsid w:val="00B000E4"/>
    <w:rPr>
      <w:sz w:val="24"/>
      <w:szCs w:val="24"/>
      <w:lang w:bidi="ja-JP"/>
    </w:rPr>
  </w:style>
  <w:style w:type="paragraph" w:customStyle="1" w:styleId="ParagraphL1">
    <w:name w:val="Paragraph L1"/>
    <w:basedOn w:val="Normal"/>
    <w:next w:val="BodyText1"/>
    <w:link w:val="ParagraphL1Char"/>
    <w:rsid w:val="00B000E4"/>
    <w:pPr>
      <w:numPr>
        <w:numId w:val="10"/>
      </w:numPr>
      <w:outlineLvl w:val="0"/>
    </w:pPr>
  </w:style>
  <w:style w:type="character" w:customStyle="1" w:styleId="ParagraphL1Char">
    <w:name w:val="Paragraph L1 Char"/>
    <w:basedOn w:val="DefaultParagraphFont"/>
    <w:link w:val="ParagraphL1"/>
    <w:rsid w:val="00B000E4"/>
    <w:rPr>
      <w:sz w:val="24"/>
      <w:szCs w:val="24"/>
      <w:lang w:bidi="ja-JP"/>
    </w:rPr>
  </w:style>
  <w:style w:type="character" w:styleId="PlaceholderText">
    <w:name w:val="Placeholder Text"/>
    <w:basedOn w:val="DefaultParagraphFont"/>
    <w:uiPriority w:val="99"/>
    <w:semiHidden/>
    <w:rsid w:val="00084F5D"/>
    <w:rPr>
      <w:color w:val="808080"/>
    </w:rPr>
  </w:style>
  <w:style w:type="paragraph" w:customStyle="1" w:styleId="Bullet5">
    <w:name w:val="Bullet 5"/>
    <w:basedOn w:val="Normal"/>
    <w:rsid w:val="000D1C4C"/>
    <w:pPr>
      <w:numPr>
        <w:numId w:val="11"/>
      </w:numPr>
      <w:spacing w:after="140" w:line="290" w:lineRule="auto"/>
      <w:ind w:left="3288" w:hanging="680"/>
    </w:pPr>
    <w:rPr>
      <w:rFonts w:ascii="Arial" w:eastAsia="MS Mincho" w:hAnsi="Arial" w:cs="Times New Roman"/>
      <w:kern w:val="20"/>
      <w:sz w:val="20"/>
      <w:szCs w:val="20"/>
    </w:rPr>
  </w:style>
  <w:style w:type="paragraph" w:customStyle="1" w:styleId="HeadingCtr">
    <w:name w:val="Heading Ctr"/>
    <w:basedOn w:val="Normal"/>
    <w:uiPriority w:val="1"/>
    <w:qFormat/>
    <w:rsid w:val="008F2F2E"/>
    <w:pPr>
      <w:keepNext/>
      <w:keepLines/>
      <w:spacing w:before="240" w:after="0" w:line="240" w:lineRule="auto"/>
      <w:jc w:val="center"/>
    </w:pPr>
    <w:rPr>
      <w:rFonts w:eastAsia="Times New Roman" w:cs="Times New Roman"/>
      <w:sz w:val="20"/>
      <w:szCs w:val="20"/>
    </w:rPr>
  </w:style>
  <w:style w:type="paragraph" w:customStyle="1" w:styleId="AONormal8L">
    <w:name w:val="AONormal8L"/>
    <w:basedOn w:val="Normal"/>
    <w:rsid w:val="00E91FAA"/>
    <w:pPr>
      <w:spacing w:after="0" w:line="220" w:lineRule="atLeast"/>
      <w:jc w:val="left"/>
    </w:pPr>
    <w:rPr>
      <w:rFonts w:ascii="Arial" w:hAnsi="Arial" w:cs="Arial"/>
      <w:sz w:val="16"/>
      <w:szCs w:val="22"/>
    </w:rPr>
  </w:style>
  <w:style w:type="paragraph" w:styleId="Date">
    <w:name w:val="Date"/>
    <w:basedOn w:val="Normal"/>
    <w:next w:val="Normal"/>
    <w:link w:val="DateChar"/>
    <w:uiPriority w:val="99"/>
    <w:semiHidden/>
    <w:unhideWhenUsed/>
    <w:rsid w:val="00366316"/>
  </w:style>
  <w:style w:type="character" w:customStyle="1" w:styleId="DateChar">
    <w:name w:val="Date Char"/>
    <w:basedOn w:val="DefaultParagraphFont"/>
    <w:link w:val="Date"/>
    <w:uiPriority w:val="99"/>
    <w:semiHidden/>
    <w:rsid w:val="00366316"/>
    <w:rPr>
      <w:sz w:val="24"/>
      <w:szCs w:val="24"/>
      <w:lang w:bidi="ja-JP"/>
    </w:rPr>
  </w:style>
  <w:style w:type="character" w:customStyle="1" w:styleId="DocID">
    <w:name w:val="DocID"/>
    <w:basedOn w:val="DefaultParagraphFont"/>
    <w:rsid w:val="00366316"/>
    <w:rPr>
      <w:rFonts w:ascii="Times New Roman" w:hAnsi="Times New Roman" w:cs="Times New Roman"/>
      <w:b w:val="0"/>
      <w:i w:val="0"/>
      <w:color w:val="000000"/>
      <w:sz w:val="18"/>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2359864">
      <w:bodyDiv w:val="1"/>
      <w:marLeft w:val="0"/>
      <w:marRight w:val="0"/>
      <w:marTop w:val="0"/>
      <w:marBottom w:val="0"/>
      <w:divBdr>
        <w:top w:val="none" w:sz="0" w:space="0" w:color="auto"/>
        <w:left w:val="none" w:sz="0" w:space="0" w:color="auto"/>
        <w:bottom w:val="none" w:sz="0" w:space="0" w:color="auto"/>
        <w:right w:val="none" w:sz="0" w:space="0" w:color="auto"/>
      </w:divBdr>
    </w:div>
    <w:div w:id="498080621">
      <w:bodyDiv w:val="1"/>
      <w:marLeft w:val="0"/>
      <w:marRight w:val="0"/>
      <w:marTop w:val="0"/>
      <w:marBottom w:val="0"/>
      <w:divBdr>
        <w:top w:val="none" w:sz="0" w:space="0" w:color="auto"/>
        <w:left w:val="none" w:sz="0" w:space="0" w:color="auto"/>
        <w:bottom w:val="none" w:sz="0" w:space="0" w:color="auto"/>
        <w:right w:val="none" w:sz="0" w:space="0" w:color="auto"/>
      </w:divBdr>
    </w:div>
    <w:div w:id="675812929">
      <w:bodyDiv w:val="1"/>
      <w:marLeft w:val="0"/>
      <w:marRight w:val="0"/>
      <w:marTop w:val="0"/>
      <w:marBottom w:val="0"/>
      <w:divBdr>
        <w:top w:val="none" w:sz="0" w:space="0" w:color="auto"/>
        <w:left w:val="none" w:sz="0" w:space="0" w:color="auto"/>
        <w:bottom w:val="none" w:sz="0" w:space="0" w:color="auto"/>
        <w:right w:val="none" w:sz="0" w:space="0" w:color="auto"/>
      </w:divBdr>
    </w:div>
    <w:div w:id="718632158">
      <w:bodyDiv w:val="1"/>
      <w:marLeft w:val="0"/>
      <w:marRight w:val="0"/>
      <w:marTop w:val="0"/>
      <w:marBottom w:val="0"/>
      <w:divBdr>
        <w:top w:val="none" w:sz="0" w:space="0" w:color="auto"/>
        <w:left w:val="none" w:sz="0" w:space="0" w:color="auto"/>
        <w:bottom w:val="none" w:sz="0" w:space="0" w:color="auto"/>
        <w:right w:val="none" w:sz="0" w:space="0" w:color="auto"/>
      </w:divBdr>
    </w:div>
    <w:div w:id="2084181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05FA83-1C7B-4BEA-9BFB-1DCB3CCA45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1710</Words>
  <Characters>9748</Characters>
  <Application>Microsoft Office Word</Application>
  <DocSecurity>4</DocSecurity>
  <Lines>81</Lines>
  <Paragraphs>22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LinksUpToDate>false</LinksUpToDate>
  <CharactersWithSpaces>11436</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2016-05-20T08:40:00Z</dcterms:created>
  <dcterms:modified xsi:type="dcterms:W3CDTF">2016-05-20T08:40:00Z</dcterms:modified>
</cp:coreProperties>
</file>