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89776E" w14:textId="77777777" w:rsidR="00A47D16" w:rsidRPr="001E1145" w:rsidRDefault="00A47D16" w:rsidP="00A47D16">
      <w:pPr>
        <w:pStyle w:val="Heading5"/>
        <w:rPr>
          <w:rFonts w:ascii="Arial" w:hAnsi="Arial" w:cs="Arial"/>
          <w:sz w:val="22"/>
        </w:rPr>
      </w:pPr>
      <w:r w:rsidRPr="001E1145">
        <w:rPr>
          <w:rFonts w:ascii="Arial" w:hAnsi="Arial" w:cs="Arial"/>
          <w:sz w:val="22"/>
        </w:rPr>
        <w:t xml:space="preserve">Global Master Securities lending Agreement </w:t>
      </w:r>
    </w:p>
    <w:p w14:paraId="37B791ED" w14:textId="77777777" w:rsidR="00A47D16" w:rsidRPr="001E1145" w:rsidRDefault="00A47D16" w:rsidP="00A47D16">
      <w:pPr>
        <w:pStyle w:val="Heading5"/>
        <w:rPr>
          <w:rFonts w:ascii="Arial" w:hAnsi="Arial" w:cs="Arial"/>
          <w:sz w:val="22"/>
        </w:rPr>
      </w:pPr>
      <w:r w:rsidRPr="001E1145">
        <w:rPr>
          <w:rFonts w:ascii="Arial" w:hAnsi="Arial" w:cs="Arial"/>
          <w:sz w:val="22"/>
        </w:rPr>
        <w:t>DIGITAL ASSETS Annex</w:t>
      </w:r>
    </w:p>
    <w:p w14:paraId="1865F835" w14:textId="77777777" w:rsidR="00A47D16" w:rsidRPr="001E1145" w:rsidRDefault="00A47D16" w:rsidP="00A47D16">
      <w:pPr>
        <w:pStyle w:val="Heading6"/>
        <w:rPr>
          <w:rFonts w:ascii="Arial" w:hAnsi="Arial" w:cs="Arial"/>
          <w:sz w:val="22"/>
        </w:rPr>
      </w:pPr>
      <w:r w:rsidRPr="001E1145">
        <w:rPr>
          <w:rFonts w:ascii="Arial" w:hAnsi="Arial" w:cs="Arial"/>
          <w:sz w:val="22"/>
        </w:rPr>
        <w:t>Supplemental terms and conditions for transactions in Digital Assets</w:t>
      </w:r>
    </w:p>
    <w:p w14:paraId="1AEFCB32" w14:textId="77777777" w:rsidR="00A47D16" w:rsidRPr="001E1145" w:rsidRDefault="00A47D16" w:rsidP="00A47D16">
      <w:pPr>
        <w:pStyle w:val="BodyText"/>
        <w:rPr>
          <w:rFonts w:ascii="Arial" w:hAnsi="Arial" w:cs="Arial"/>
          <w:sz w:val="22"/>
        </w:rPr>
      </w:pPr>
      <w:r w:rsidRPr="001E1145">
        <w:rPr>
          <w:rFonts w:ascii="Arial" w:hAnsi="Arial" w:cs="Arial"/>
          <w:sz w:val="22"/>
        </w:rPr>
        <w:t>This Annex (this "</w:t>
      </w:r>
      <w:r w:rsidRPr="001E1145">
        <w:rPr>
          <w:rFonts w:ascii="Arial" w:hAnsi="Arial" w:cs="Arial"/>
          <w:b/>
          <w:bCs/>
          <w:sz w:val="22"/>
        </w:rPr>
        <w:t>Annex</w:t>
      </w:r>
      <w:r w:rsidRPr="001E1145">
        <w:rPr>
          <w:rFonts w:ascii="Arial" w:hAnsi="Arial" w:cs="Arial"/>
          <w:sz w:val="22"/>
        </w:rPr>
        <w:t xml:space="preserve">") to the Global Master Securities Lending Agreement </w:t>
      </w:r>
      <w:r>
        <w:rPr>
          <w:rFonts w:ascii="Arial" w:hAnsi="Arial" w:cs="Arial"/>
          <w:sz w:val="22"/>
        </w:rPr>
        <w:t xml:space="preserve">(Security Interest over Collateral – 2018 Version) </w:t>
      </w:r>
      <w:r w:rsidRPr="001E1145">
        <w:rPr>
          <w:rFonts w:ascii="Arial" w:hAnsi="Arial" w:cs="Arial"/>
          <w:sz w:val="22"/>
        </w:rPr>
        <w:t xml:space="preserve">dated ______________ between ........................................... and ........................................................... (the </w:t>
      </w:r>
      <w:r>
        <w:rPr>
          <w:rFonts w:ascii="Arial" w:hAnsi="Arial" w:cs="Arial"/>
          <w:sz w:val="22"/>
        </w:rPr>
        <w:t>"</w:t>
      </w:r>
      <w:r w:rsidRPr="001E1145">
        <w:rPr>
          <w:rFonts w:ascii="Arial" w:hAnsi="Arial" w:cs="Arial"/>
          <w:b/>
          <w:bCs/>
          <w:sz w:val="22"/>
        </w:rPr>
        <w:t>Agreement</w:t>
      </w:r>
      <w:r>
        <w:rPr>
          <w:rFonts w:ascii="Arial" w:hAnsi="Arial" w:cs="Arial"/>
          <w:sz w:val="22"/>
        </w:rPr>
        <w:t>"</w:t>
      </w:r>
      <w:r w:rsidRPr="001E1145">
        <w:rPr>
          <w:rFonts w:ascii="Arial" w:hAnsi="Arial" w:cs="Arial"/>
          <w:sz w:val="22"/>
        </w:rPr>
        <w:t>).</w:t>
      </w:r>
    </w:p>
    <w:p w14:paraId="7C52EAA4" w14:textId="77777777" w:rsidR="00A47D16" w:rsidRPr="001E1145" w:rsidRDefault="00A47D16" w:rsidP="00A47D16">
      <w:pPr>
        <w:pStyle w:val="Heading3"/>
        <w:rPr>
          <w:rFonts w:ascii="Arial" w:hAnsi="Arial" w:cs="Arial"/>
          <w:sz w:val="22"/>
        </w:rPr>
      </w:pPr>
      <w:r w:rsidRPr="001E1145">
        <w:rPr>
          <w:rFonts w:ascii="Arial" w:hAnsi="Arial" w:cs="Arial"/>
          <w:sz w:val="22"/>
        </w:rPr>
        <w:t>1.</w:t>
      </w:r>
      <w:r w:rsidRPr="001E1145">
        <w:rPr>
          <w:rFonts w:ascii="Arial" w:hAnsi="Arial" w:cs="Arial"/>
          <w:sz w:val="22"/>
        </w:rPr>
        <w:tab/>
        <w:t>Scope</w:t>
      </w:r>
    </w:p>
    <w:p w14:paraId="14009F99" w14:textId="77777777" w:rsidR="00A47D16" w:rsidRPr="001E1145" w:rsidRDefault="00A47D16" w:rsidP="00A47D16">
      <w:pPr>
        <w:pStyle w:val="a"/>
        <w:rPr>
          <w:rFonts w:ascii="Arial" w:hAnsi="Arial" w:cs="Arial"/>
          <w:sz w:val="22"/>
        </w:rPr>
      </w:pPr>
      <w:r w:rsidRPr="001E1145">
        <w:rPr>
          <w:rFonts w:ascii="Arial" w:hAnsi="Arial" w:cs="Arial"/>
          <w:sz w:val="22"/>
        </w:rPr>
        <w:t>(a)</w:t>
      </w:r>
      <w:r w:rsidRPr="001E1145">
        <w:rPr>
          <w:rFonts w:ascii="Arial" w:hAnsi="Arial" w:cs="Arial"/>
          <w:sz w:val="22"/>
        </w:rPr>
        <w:tab/>
        <w:t xml:space="preserve">Unless otherwise agreed by the </w:t>
      </w:r>
      <w:r>
        <w:rPr>
          <w:rFonts w:ascii="Arial" w:hAnsi="Arial" w:cs="Arial"/>
          <w:sz w:val="22"/>
        </w:rPr>
        <w:t>P</w:t>
      </w:r>
      <w:r w:rsidRPr="001E1145">
        <w:rPr>
          <w:rFonts w:ascii="Arial" w:hAnsi="Arial" w:cs="Arial"/>
          <w:sz w:val="22"/>
        </w:rPr>
        <w:t>arties, this Annex applies</w:t>
      </w:r>
      <w:r>
        <w:rPr>
          <w:rFonts w:ascii="Arial" w:hAnsi="Arial" w:cs="Arial"/>
          <w:sz w:val="22"/>
        </w:rPr>
        <w:t xml:space="preserve"> </w:t>
      </w:r>
      <w:r w:rsidRPr="001E1145">
        <w:rPr>
          <w:rFonts w:ascii="Arial" w:hAnsi="Arial" w:cs="Arial"/>
          <w:sz w:val="22"/>
        </w:rPr>
        <w:t xml:space="preserve">to any </w:t>
      </w:r>
      <w:r>
        <w:rPr>
          <w:rFonts w:ascii="Arial" w:hAnsi="Arial" w:cs="Arial"/>
          <w:sz w:val="22"/>
        </w:rPr>
        <w:t>tr</w:t>
      </w:r>
      <w:r w:rsidRPr="001E1145">
        <w:rPr>
          <w:rFonts w:ascii="Arial" w:hAnsi="Arial" w:cs="Arial"/>
          <w:sz w:val="22"/>
        </w:rPr>
        <w:t xml:space="preserve">ansactions in respect of which the </w:t>
      </w:r>
      <w:r>
        <w:rPr>
          <w:rFonts w:ascii="Arial" w:hAnsi="Arial" w:cs="Arial"/>
          <w:sz w:val="22"/>
        </w:rPr>
        <w:t xml:space="preserve">Loaned </w:t>
      </w:r>
      <w:r w:rsidRPr="001E1145">
        <w:rPr>
          <w:rFonts w:ascii="Arial" w:hAnsi="Arial" w:cs="Arial"/>
          <w:sz w:val="22"/>
        </w:rPr>
        <w:t xml:space="preserve">Securities consist of or include </w:t>
      </w:r>
      <w:r>
        <w:rPr>
          <w:rFonts w:ascii="Arial" w:hAnsi="Arial" w:cs="Arial"/>
          <w:sz w:val="22"/>
        </w:rPr>
        <w:t>Asset-backed Digital Assets or Platform Transferred Securities.</w:t>
      </w:r>
    </w:p>
    <w:p w14:paraId="76F77A89" w14:textId="77777777" w:rsidR="00A47D16" w:rsidRPr="001E1145" w:rsidRDefault="00A47D16" w:rsidP="00A47D16">
      <w:pPr>
        <w:pStyle w:val="a"/>
        <w:rPr>
          <w:rFonts w:ascii="Arial" w:hAnsi="Arial" w:cs="Arial"/>
          <w:sz w:val="22"/>
        </w:rPr>
      </w:pPr>
      <w:r w:rsidRPr="001E1145">
        <w:rPr>
          <w:rFonts w:ascii="Arial" w:hAnsi="Arial" w:cs="Arial"/>
          <w:sz w:val="22"/>
        </w:rPr>
        <w:t>(b)</w:t>
      </w:r>
      <w:r w:rsidRPr="001E1145">
        <w:rPr>
          <w:rFonts w:ascii="Arial" w:hAnsi="Arial" w:cs="Arial"/>
          <w:sz w:val="22"/>
        </w:rPr>
        <w:tab/>
        <w:t xml:space="preserve">To the extent that this Annex applies, the Agreement shall be construed as if it had been amended and supplemented as set out in paragraphs 2 to </w:t>
      </w:r>
      <w:r>
        <w:rPr>
          <w:rFonts w:ascii="Arial" w:hAnsi="Arial" w:cs="Arial"/>
          <w:sz w:val="22"/>
        </w:rPr>
        <w:t>[8/9</w:t>
      </w:r>
      <w:r w:rsidRPr="001E1145">
        <w:rPr>
          <w:rFonts w:ascii="Arial" w:hAnsi="Arial" w:cs="Arial"/>
          <w:sz w:val="22"/>
        </w:rPr>
        <w:t>] of this Annex.</w:t>
      </w:r>
    </w:p>
    <w:p w14:paraId="0F24BE54" w14:textId="77777777" w:rsidR="00A47D16" w:rsidRPr="001E1145" w:rsidRDefault="00A47D16" w:rsidP="00A47D16">
      <w:pPr>
        <w:pStyle w:val="Heading3"/>
        <w:rPr>
          <w:rFonts w:ascii="Arial" w:hAnsi="Arial" w:cs="Arial"/>
          <w:sz w:val="22"/>
        </w:rPr>
      </w:pPr>
      <w:r w:rsidRPr="001E1145">
        <w:rPr>
          <w:rFonts w:ascii="Arial" w:hAnsi="Arial" w:cs="Arial"/>
          <w:sz w:val="22"/>
        </w:rPr>
        <w:t>2.</w:t>
      </w:r>
      <w:r w:rsidRPr="001E1145">
        <w:rPr>
          <w:rFonts w:ascii="Arial" w:hAnsi="Arial" w:cs="Arial"/>
          <w:sz w:val="22"/>
        </w:rPr>
        <w:tab/>
        <w:t>Interpretation</w:t>
      </w:r>
    </w:p>
    <w:p w14:paraId="0FA64701" w14:textId="77777777" w:rsidR="00A47D16" w:rsidRPr="001E1145" w:rsidRDefault="00A47D16" w:rsidP="00A47D16">
      <w:pPr>
        <w:pStyle w:val="a"/>
        <w:rPr>
          <w:rFonts w:ascii="Arial" w:hAnsi="Arial" w:cs="Arial"/>
          <w:sz w:val="22"/>
        </w:rPr>
      </w:pPr>
      <w:r w:rsidRPr="001E1145">
        <w:rPr>
          <w:rFonts w:ascii="Arial" w:hAnsi="Arial" w:cs="Arial"/>
          <w:sz w:val="22"/>
        </w:rPr>
        <w:t>(a)</w:t>
      </w:r>
      <w:r w:rsidRPr="001E1145">
        <w:rPr>
          <w:rFonts w:ascii="Arial" w:hAnsi="Arial" w:cs="Arial"/>
          <w:sz w:val="22"/>
        </w:rPr>
        <w:tab/>
        <w:t>In this Annex </w:t>
      </w:r>
      <w:r w:rsidRPr="001E1145">
        <w:rPr>
          <w:rFonts w:ascii="Arial" w:hAnsi="Arial" w:cs="Arial"/>
          <w:sz w:val="22"/>
        </w:rPr>
        <w:noBreakHyphen/>
      </w:r>
    </w:p>
    <w:p w14:paraId="78FEA476" w14:textId="77777777" w:rsidR="00A47D16" w:rsidRPr="001E1145" w:rsidRDefault="00A47D16" w:rsidP="00A47D16">
      <w:pPr>
        <w:pStyle w:val="a"/>
        <w:ind w:left="1440"/>
        <w:rPr>
          <w:rFonts w:ascii="Arial" w:hAnsi="Arial" w:cs="Arial"/>
          <w:sz w:val="22"/>
        </w:rPr>
      </w:pPr>
      <w:r w:rsidRPr="001E1145">
        <w:rPr>
          <w:rFonts w:ascii="Arial" w:hAnsi="Arial" w:cs="Arial"/>
          <w:sz w:val="22"/>
        </w:rPr>
        <w:t>(</w:t>
      </w:r>
      <w:proofErr w:type="spellStart"/>
      <w:r w:rsidRPr="001E1145">
        <w:rPr>
          <w:rFonts w:ascii="Arial" w:hAnsi="Arial" w:cs="Arial"/>
          <w:sz w:val="22"/>
        </w:rPr>
        <w:t>i</w:t>
      </w:r>
      <w:proofErr w:type="spellEnd"/>
      <w:r w:rsidRPr="001E1145">
        <w:rPr>
          <w:rFonts w:ascii="Arial" w:hAnsi="Arial" w:cs="Arial"/>
          <w:sz w:val="22"/>
        </w:rPr>
        <w:t>)</w:t>
      </w:r>
      <w:r w:rsidRPr="001E1145">
        <w:rPr>
          <w:rFonts w:ascii="Arial" w:hAnsi="Arial" w:cs="Arial"/>
          <w:sz w:val="22"/>
        </w:rPr>
        <w:tab/>
        <w:t>"Asset-backed Digital Asset" means</w:t>
      </w:r>
      <w:r>
        <w:rPr>
          <w:rFonts w:ascii="Arial" w:hAnsi="Arial" w:cs="Arial"/>
          <w:sz w:val="22"/>
        </w:rPr>
        <w:t xml:space="preserve"> a Tokenised Traditional Security or any other Digital Asset which represents ownership of or a contractual claim or right to an Underlying Asset and which is not Digital </w:t>
      </w:r>
      <w:proofErr w:type="gramStart"/>
      <w:r>
        <w:rPr>
          <w:rFonts w:ascii="Arial" w:hAnsi="Arial" w:cs="Arial"/>
          <w:sz w:val="22"/>
        </w:rPr>
        <w:t>Cash</w:t>
      </w:r>
      <w:r w:rsidRPr="001E1145">
        <w:rPr>
          <w:rFonts w:ascii="Arial" w:hAnsi="Arial" w:cs="Arial"/>
          <w:sz w:val="22"/>
        </w:rPr>
        <w:t>;</w:t>
      </w:r>
      <w:proofErr w:type="gramEnd"/>
      <w:r w:rsidRPr="001E1145">
        <w:rPr>
          <w:rFonts w:ascii="Arial" w:hAnsi="Arial" w:cs="Arial"/>
          <w:sz w:val="22"/>
        </w:rPr>
        <w:tab/>
      </w:r>
    </w:p>
    <w:p w14:paraId="5BF83E6C" w14:textId="77777777" w:rsidR="00A47D16" w:rsidRPr="001E1145" w:rsidRDefault="00A47D16" w:rsidP="00A47D16">
      <w:pPr>
        <w:pStyle w:val="a"/>
        <w:ind w:left="1440"/>
        <w:rPr>
          <w:rFonts w:ascii="Arial" w:hAnsi="Arial" w:cs="Arial"/>
          <w:sz w:val="22"/>
        </w:rPr>
      </w:pPr>
      <w:r w:rsidRPr="001E1145">
        <w:rPr>
          <w:rFonts w:ascii="Arial" w:hAnsi="Arial" w:cs="Arial"/>
          <w:sz w:val="22"/>
        </w:rPr>
        <w:t>(ii)</w:t>
      </w:r>
      <w:r w:rsidRPr="001E1145">
        <w:rPr>
          <w:rFonts w:ascii="Arial" w:hAnsi="Arial" w:cs="Arial"/>
          <w:sz w:val="22"/>
        </w:rPr>
        <w:tab/>
      </w:r>
      <w:r>
        <w:rPr>
          <w:rFonts w:ascii="Arial" w:hAnsi="Arial" w:cs="Arial"/>
          <w:sz w:val="22"/>
        </w:rPr>
        <w:t>"</w:t>
      </w:r>
      <w:r w:rsidRPr="001E1145">
        <w:rPr>
          <w:rFonts w:ascii="Arial" w:hAnsi="Arial" w:cs="Arial"/>
          <w:bCs/>
          <w:iCs/>
          <w:sz w:val="22"/>
        </w:rPr>
        <w:t>Digital Asset</w:t>
      </w:r>
      <w:r>
        <w:rPr>
          <w:rFonts w:ascii="Arial" w:hAnsi="Arial" w:cs="Arial"/>
          <w:sz w:val="22"/>
        </w:rPr>
        <w:t>"</w:t>
      </w:r>
      <w:r w:rsidRPr="001E1145">
        <w:rPr>
          <w:rFonts w:ascii="Arial" w:hAnsi="Arial" w:cs="Arial"/>
          <w:sz w:val="22"/>
        </w:rPr>
        <w:t xml:space="preserve"> means a</w:t>
      </w:r>
      <w:r>
        <w:rPr>
          <w:rFonts w:ascii="Arial" w:hAnsi="Arial" w:cs="Arial"/>
          <w:sz w:val="22"/>
        </w:rPr>
        <w:t xml:space="preserve"> cryptographically secured digital representation of value or contractual rights which can be transferred, stored and/or traded electronically that uses technology supporting the recording and/or storage of data (which may include distributed ledger technology) and which is capable of being the object of personal property </w:t>
      </w:r>
      <w:proofErr w:type="gramStart"/>
      <w:r>
        <w:rPr>
          <w:rFonts w:ascii="Arial" w:hAnsi="Arial" w:cs="Arial"/>
          <w:sz w:val="22"/>
        </w:rPr>
        <w:t>rights</w:t>
      </w:r>
      <w:r w:rsidRPr="001E1145">
        <w:rPr>
          <w:rFonts w:ascii="Arial" w:hAnsi="Arial" w:cs="Arial"/>
          <w:sz w:val="22"/>
        </w:rPr>
        <w:t>;</w:t>
      </w:r>
      <w:proofErr w:type="gramEnd"/>
    </w:p>
    <w:p w14:paraId="5D7FA34D" w14:textId="77777777" w:rsidR="00A47D16" w:rsidRPr="001E1145" w:rsidRDefault="00A47D16" w:rsidP="00A47D16">
      <w:pPr>
        <w:pStyle w:val="a"/>
        <w:ind w:left="1440"/>
        <w:rPr>
          <w:rFonts w:ascii="Arial" w:hAnsi="Arial" w:cs="Arial"/>
          <w:sz w:val="22"/>
        </w:rPr>
      </w:pPr>
      <w:r w:rsidRPr="001E1145">
        <w:rPr>
          <w:rFonts w:ascii="Arial" w:hAnsi="Arial" w:cs="Arial"/>
          <w:sz w:val="22"/>
        </w:rPr>
        <w:t>(iii)</w:t>
      </w:r>
      <w:r w:rsidRPr="001E1145">
        <w:rPr>
          <w:rFonts w:ascii="Arial" w:hAnsi="Arial" w:cs="Arial"/>
          <w:sz w:val="22"/>
        </w:rPr>
        <w:tab/>
        <w:t xml:space="preserve">"Digital Cash" means </w:t>
      </w:r>
      <w:r>
        <w:rPr>
          <w:rFonts w:ascii="Arial" w:hAnsi="Arial" w:cs="Arial"/>
          <w:sz w:val="22"/>
        </w:rPr>
        <w:t xml:space="preserve">a central bank digital currency, tokenised deposit, electronic money token or other cryptographically secured, digital representation of value denominated in a single fiat currency, which can be used for the settlement of payment </w:t>
      </w:r>
      <w:proofErr w:type="gramStart"/>
      <w:r>
        <w:rPr>
          <w:rFonts w:ascii="Arial" w:hAnsi="Arial" w:cs="Arial"/>
          <w:sz w:val="22"/>
        </w:rPr>
        <w:t>obligations</w:t>
      </w:r>
      <w:r w:rsidRPr="001E1145">
        <w:rPr>
          <w:rFonts w:ascii="Arial" w:hAnsi="Arial" w:cs="Arial"/>
          <w:sz w:val="22"/>
        </w:rPr>
        <w:t>;</w:t>
      </w:r>
      <w:proofErr w:type="gramEnd"/>
    </w:p>
    <w:p w14:paraId="04A8BAA9" w14:textId="77777777" w:rsidR="00A47D16" w:rsidRPr="001E1145" w:rsidRDefault="00A47D16" w:rsidP="00A47D16">
      <w:pPr>
        <w:pStyle w:val="a"/>
        <w:ind w:left="1440"/>
        <w:rPr>
          <w:rFonts w:ascii="Arial" w:hAnsi="Arial" w:cs="Arial"/>
          <w:sz w:val="22"/>
        </w:rPr>
      </w:pPr>
      <w:r>
        <w:rPr>
          <w:rFonts w:ascii="Arial" w:hAnsi="Arial" w:cs="Arial"/>
          <w:sz w:val="22"/>
        </w:rPr>
        <w:t>(iv)</w:t>
      </w:r>
      <w:r>
        <w:rPr>
          <w:rFonts w:ascii="Arial" w:hAnsi="Arial" w:cs="Arial"/>
          <w:sz w:val="22"/>
        </w:rPr>
        <w:tab/>
      </w:r>
      <w:r w:rsidRPr="001E1145">
        <w:rPr>
          <w:rFonts w:ascii="Arial" w:hAnsi="Arial" w:cs="Arial"/>
          <w:sz w:val="22"/>
        </w:rPr>
        <w:t xml:space="preserve">"Platform" means a technological platform </w:t>
      </w:r>
      <w:r>
        <w:rPr>
          <w:rFonts w:ascii="Arial" w:hAnsi="Arial" w:cs="Arial"/>
          <w:sz w:val="22"/>
        </w:rPr>
        <w:t>used</w:t>
      </w:r>
      <w:r w:rsidRPr="001E1145">
        <w:rPr>
          <w:rFonts w:ascii="Arial" w:hAnsi="Arial" w:cs="Arial"/>
          <w:sz w:val="22"/>
        </w:rPr>
        <w:t xml:space="preserve"> for the holding</w:t>
      </w:r>
      <w:r>
        <w:rPr>
          <w:rFonts w:ascii="Arial" w:hAnsi="Arial" w:cs="Arial"/>
          <w:sz w:val="22"/>
        </w:rPr>
        <w:t>, transfer, payment</w:t>
      </w:r>
      <w:r w:rsidRPr="001E1145">
        <w:rPr>
          <w:rFonts w:ascii="Arial" w:hAnsi="Arial" w:cs="Arial"/>
          <w:sz w:val="22"/>
        </w:rPr>
        <w:t xml:space="preserve"> and/or settlement of a</w:t>
      </w:r>
      <w:r>
        <w:rPr>
          <w:rFonts w:ascii="Arial" w:hAnsi="Arial" w:cs="Arial"/>
          <w:sz w:val="22"/>
        </w:rPr>
        <w:t xml:space="preserve">n Asset-backed Digital Asset and/or a Platform Transferred </w:t>
      </w:r>
      <w:proofErr w:type="gramStart"/>
      <w:r>
        <w:rPr>
          <w:rFonts w:ascii="Arial" w:hAnsi="Arial" w:cs="Arial"/>
          <w:sz w:val="22"/>
        </w:rPr>
        <w:t>Security</w:t>
      </w:r>
      <w:r w:rsidRPr="001E1145">
        <w:rPr>
          <w:rFonts w:ascii="Arial" w:hAnsi="Arial" w:cs="Arial"/>
          <w:sz w:val="22"/>
        </w:rPr>
        <w:t>;</w:t>
      </w:r>
      <w:proofErr w:type="gramEnd"/>
      <w:r w:rsidRPr="001E1145">
        <w:rPr>
          <w:rFonts w:ascii="Arial" w:hAnsi="Arial" w:cs="Arial"/>
          <w:sz w:val="22"/>
        </w:rPr>
        <w:t xml:space="preserve"> </w:t>
      </w:r>
    </w:p>
    <w:p w14:paraId="580D9845" w14:textId="77777777" w:rsidR="00A47D16" w:rsidRPr="001E1145" w:rsidRDefault="00A47D16" w:rsidP="00A47D16">
      <w:pPr>
        <w:pStyle w:val="a"/>
        <w:ind w:left="1440"/>
        <w:rPr>
          <w:rFonts w:ascii="Arial" w:hAnsi="Arial" w:cs="Arial"/>
          <w:sz w:val="22"/>
        </w:rPr>
      </w:pPr>
      <w:r w:rsidRPr="001E1145">
        <w:rPr>
          <w:rFonts w:ascii="Arial" w:hAnsi="Arial" w:cs="Arial"/>
          <w:sz w:val="22"/>
        </w:rPr>
        <w:t>(v)</w:t>
      </w:r>
      <w:r w:rsidRPr="001E1145">
        <w:rPr>
          <w:rFonts w:ascii="Arial" w:hAnsi="Arial" w:cs="Arial"/>
          <w:sz w:val="22"/>
        </w:rPr>
        <w:tab/>
        <w:t xml:space="preserve">"Platform </w:t>
      </w:r>
      <w:r>
        <w:rPr>
          <w:rFonts w:ascii="Arial" w:hAnsi="Arial" w:cs="Arial"/>
          <w:sz w:val="22"/>
        </w:rPr>
        <w:t>Loan</w:t>
      </w:r>
      <w:r w:rsidRPr="001E1145">
        <w:rPr>
          <w:rFonts w:ascii="Arial" w:hAnsi="Arial" w:cs="Arial"/>
          <w:sz w:val="22"/>
        </w:rPr>
        <w:t xml:space="preserve">" means a </w:t>
      </w:r>
      <w:r>
        <w:rPr>
          <w:rFonts w:ascii="Arial" w:hAnsi="Arial" w:cs="Arial"/>
          <w:sz w:val="22"/>
        </w:rPr>
        <w:t>Loan</w:t>
      </w:r>
      <w:r w:rsidRPr="001E1145">
        <w:rPr>
          <w:rFonts w:ascii="Arial" w:hAnsi="Arial" w:cs="Arial"/>
          <w:sz w:val="22"/>
        </w:rPr>
        <w:t xml:space="preserve"> </w:t>
      </w:r>
      <w:r>
        <w:rPr>
          <w:rFonts w:ascii="Arial" w:hAnsi="Arial" w:cs="Arial"/>
          <w:sz w:val="22"/>
        </w:rPr>
        <w:t>of, in whole or in part,</w:t>
      </w:r>
      <w:r w:rsidRPr="001E1145">
        <w:rPr>
          <w:rFonts w:ascii="Arial" w:hAnsi="Arial" w:cs="Arial"/>
          <w:sz w:val="22"/>
        </w:rPr>
        <w:t xml:space="preserve"> </w:t>
      </w:r>
      <w:r>
        <w:rPr>
          <w:rFonts w:ascii="Arial" w:hAnsi="Arial" w:cs="Arial"/>
          <w:sz w:val="22"/>
        </w:rPr>
        <w:t xml:space="preserve">an </w:t>
      </w:r>
      <w:r w:rsidRPr="001E1145">
        <w:rPr>
          <w:rFonts w:ascii="Arial" w:hAnsi="Arial" w:cs="Arial"/>
          <w:sz w:val="22"/>
        </w:rPr>
        <w:t>Asset</w:t>
      </w:r>
      <w:r>
        <w:rPr>
          <w:rFonts w:ascii="Arial" w:hAnsi="Arial" w:cs="Arial"/>
          <w:sz w:val="22"/>
        </w:rPr>
        <w:t xml:space="preserve">-backed Digital Asset and/or a Platform Transferred Security </w:t>
      </w:r>
      <w:r w:rsidRPr="001E1145">
        <w:rPr>
          <w:rFonts w:ascii="Arial" w:hAnsi="Arial" w:cs="Arial"/>
          <w:sz w:val="22"/>
        </w:rPr>
        <w:t xml:space="preserve">which requires membership </w:t>
      </w:r>
      <w:r>
        <w:rPr>
          <w:rFonts w:ascii="Arial" w:hAnsi="Arial" w:cs="Arial"/>
          <w:sz w:val="22"/>
        </w:rPr>
        <w:t xml:space="preserve">of </w:t>
      </w:r>
      <w:r w:rsidRPr="001E1145">
        <w:rPr>
          <w:rFonts w:ascii="Arial" w:hAnsi="Arial" w:cs="Arial"/>
          <w:sz w:val="22"/>
        </w:rPr>
        <w:t>and/or participation in (howsoever described) a Platform</w:t>
      </w:r>
      <w:r>
        <w:rPr>
          <w:rFonts w:ascii="Arial" w:hAnsi="Arial" w:cs="Arial"/>
          <w:sz w:val="22"/>
        </w:rPr>
        <w:t xml:space="preserve"> in order for the relevant Asset-backed Digital Asset and/or Platform</w:t>
      </w:r>
      <w:r w:rsidRPr="004E3B71">
        <w:rPr>
          <w:rFonts w:ascii="Arial" w:hAnsi="Arial" w:cs="Arial"/>
          <w:sz w:val="22"/>
        </w:rPr>
        <w:t xml:space="preserve"> </w:t>
      </w:r>
      <w:r>
        <w:rPr>
          <w:rFonts w:ascii="Arial" w:hAnsi="Arial" w:cs="Arial"/>
          <w:sz w:val="22"/>
        </w:rPr>
        <w:t xml:space="preserve">Transferred Security to be held, transferred, paid or </w:t>
      </w:r>
      <w:proofErr w:type="gramStart"/>
      <w:r>
        <w:rPr>
          <w:rFonts w:ascii="Arial" w:hAnsi="Arial" w:cs="Arial"/>
          <w:sz w:val="22"/>
        </w:rPr>
        <w:t>settled</w:t>
      </w:r>
      <w:r w:rsidRPr="001E1145">
        <w:rPr>
          <w:rFonts w:ascii="Arial" w:hAnsi="Arial" w:cs="Arial"/>
          <w:sz w:val="22"/>
        </w:rPr>
        <w:t>;</w:t>
      </w:r>
      <w:proofErr w:type="gramEnd"/>
      <w:r>
        <w:rPr>
          <w:rFonts w:ascii="Arial" w:hAnsi="Arial" w:cs="Arial"/>
          <w:sz w:val="22"/>
        </w:rPr>
        <w:t xml:space="preserve"> </w:t>
      </w:r>
    </w:p>
    <w:p w14:paraId="1C9775B8" w14:textId="77777777" w:rsidR="00A47D16" w:rsidRDefault="00A47D16" w:rsidP="00A47D16">
      <w:pPr>
        <w:pStyle w:val="a"/>
        <w:ind w:left="1440"/>
        <w:rPr>
          <w:rFonts w:ascii="Arial" w:hAnsi="Arial" w:cs="Arial"/>
          <w:sz w:val="22"/>
        </w:rPr>
      </w:pPr>
      <w:r w:rsidRPr="001E1145">
        <w:rPr>
          <w:rFonts w:ascii="Arial" w:hAnsi="Arial" w:cs="Arial"/>
          <w:sz w:val="22"/>
        </w:rPr>
        <w:t>(v</w:t>
      </w:r>
      <w:r>
        <w:rPr>
          <w:rFonts w:ascii="Arial" w:hAnsi="Arial" w:cs="Arial"/>
          <w:sz w:val="22"/>
        </w:rPr>
        <w:t>i</w:t>
      </w:r>
      <w:r w:rsidRPr="001E1145">
        <w:rPr>
          <w:rFonts w:ascii="Arial" w:hAnsi="Arial" w:cs="Arial"/>
          <w:sz w:val="22"/>
        </w:rPr>
        <w:t>)</w:t>
      </w:r>
      <w:r>
        <w:rPr>
          <w:rFonts w:ascii="Arial" w:hAnsi="Arial" w:cs="Arial"/>
          <w:sz w:val="22"/>
        </w:rPr>
        <w:tab/>
      </w:r>
      <w:r w:rsidRPr="00D2719F">
        <w:rPr>
          <w:rFonts w:ascii="Arial" w:hAnsi="Arial" w:cs="Arial"/>
          <w:sz w:val="22"/>
        </w:rPr>
        <w:t xml:space="preserve">"Platform </w:t>
      </w:r>
      <w:r>
        <w:rPr>
          <w:rFonts w:ascii="Arial" w:hAnsi="Arial" w:cs="Arial"/>
          <w:sz w:val="22"/>
        </w:rPr>
        <w:t xml:space="preserve">Transferred </w:t>
      </w:r>
      <w:r w:rsidRPr="00D2719F">
        <w:rPr>
          <w:rFonts w:ascii="Arial" w:hAnsi="Arial" w:cs="Arial"/>
          <w:sz w:val="22"/>
        </w:rPr>
        <w:t xml:space="preserve">Security" means a traditional physical or </w:t>
      </w:r>
      <w:r>
        <w:rPr>
          <w:rFonts w:ascii="Arial" w:hAnsi="Arial" w:cs="Arial"/>
          <w:sz w:val="22"/>
        </w:rPr>
        <w:t xml:space="preserve">traditional </w:t>
      </w:r>
      <w:r w:rsidRPr="00D2719F">
        <w:rPr>
          <w:rFonts w:ascii="Arial" w:hAnsi="Arial" w:cs="Arial"/>
          <w:sz w:val="22"/>
        </w:rPr>
        <w:t xml:space="preserve">dematerialised Security </w:t>
      </w:r>
      <w:r>
        <w:rPr>
          <w:rFonts w:ascii="Arial" w:hAnsi="Arial" w:cs="Arial"/>
          <w:sz w:val="22"/>
        </w:rPr>
        <w:t>(and is therefore not an Asset-</w:t>
      </w:r>
      <w:r>
        <w:rPr>
          <w:rFonts w:ascii="Arial" w:hAnsi="Arial" w:cs="Arial"/>
          <w:sz w:val="22"/>
        </w:rPr>
        <w:lastRenderedPageBreak/>
        <w:t xml:space="preserve">backed Digital Asset or a natively issued digital bond) </w:t>
      </w:r>
      <w:r w:rsidRPr="00D2719F">
        <w:rPr>
          <w:rFonts w:ascii="Arial" w:hAnsi="Arial" w:cs="Arial"/>
          <w:sz w:val="22"/>
        </w:rPr>
        <w:t xml:space="preserve">which is held </w:t>
      </w:r>
      <w:r>
        <w:rPr>
          <w:rFonts w:ascii="Arial" w:hAnsi="Arial" w:cs="Arial"/>
          <w:sz w:val="22"/>
        </w:rPr>
        <w:t>and/</w:t>
      </w:r>
      <w:r w:rsidRPr="00D2719F">
        <w:rPr>
          <w:rFonts w:ascii="Arial" w:hAnsi="Arial" w:cs="Arial"/>
          <w:sz w:val="22"/>
        </w:rPr>
        <w:t xml:space="preserve">or recorded in a form that means it is capable of being transferred in a cryptographically secure manner using technology supporting the recording </w:t>
      </w:r>
      <w:r>
        <w:rPr>
          <w:rFonts w:ascii="Arial" w:hAnsi="Arial" w:cs="Arial"/>
          <w:sz w:val="22"/>
        </w:rPr>
        <w:t>and/</w:t>
      </w:r>
      <w:r w:rsidRPr="00D2719F">
        <w:rPr>
          <w:rFonts w:ascii="Arial" w:hAnsi="Arial" w:cs="Arial"/>
          <w:sz w:val="22"/>
        </w:rPr>
        <w:t xml:space="preserve">or storage of data (which may include distributed ledger technology) on a </w:t>
      </w:r>
      <w:proofErr w:type="gramStart"/>
      <w:r w:rsidRPr="00D2719F">
        <w:rPr>
          <w:rFonts w:ascii="Arial" w:hAnsi="Arial" w:cs="Arial"/>
          <w:sz w:val="22"/>
        </w:rPr>
        <w:t>Platform;</w:t>
      </w:r>
      <w:proofErr w:type="gramEnd"/>
    </w:p>
    <w:p w14:paraId="798BE7D6" w14:textId="77777777" w:rsidR="00A47D16" w:rsidRDefault="00A47D16" w:rsidP="00A47D16">
      <w:pPr>
        <w:pStyle w:val="a"/>
        <w:ind w:left="1440"/>
        <w:rPr>
          <w:rFonts w:ascii="Arial" w:hAnsi="Arial" w:cs="Arial"/>
          <w:sz w:val="22"/>
        </w:rPr>
      </w:pPr>
      <w:r>
        <w:rPr>
          <w:rFonts w:ascii="Arial" w:hAnsi="Arial" w:cs="Arial"/>
          <w:sz w:val="22"/>
        </w:rPr>
        <w:t>(vii)</w:t>
      </w:r>
      <w:r>
        <w:rPr>
          <w:rFonts w:ascii="Arial" w:hAnsi="Arial" w:cs="Arial"/>
          <w:sz w:val="22"/>
        </w:rPr>
        <w:tab/>
        <w:t>"Tokenised Traditional Security" means a Digital Asset which represents ownership of or a contractual claim or right to an Underlying Asset which is a traditional physical or traditional dematerialised Security; and</w:t>
      </w:r>
    </w:p>
    <w:p w14:paraId="0749EE56" w14:textId="77777777" w:rsidR="00A47D16" w:rsidRPr="001E1145" w:rsidRDefault="00A47D16" w:rsidP="00A47D16">
      <w:pPr>
        <w:pStyle w:val="a"/>
        <w:ind w:left="1440"/>
        <w:rPr>
          <w:rFonts w:ascii="Arial" w:hAnsi="Arial" w:cs="Arial"/>
          <w:sz w:val="22"/>
        </w:rPr>
      </w:pPr>
      <w:r>
        <w:rPr>
          <w:rFonts w:ascii="Arial" w:hAnsi="Arial" w:cs="Arial"/>
          <w:sz w:val="22"/>
        </w:rPr>
        <w:t>(viii)</w:t>
      </w:r>
      <w:r>
        <w:rPr>
          <w:rFonts w:ascii="Arial" w:hAnsi="Arial" w:cs="Arial"/>
          <w:sz w:val="22"/>
        </w:rPr>
        <w:tab/>
      </w:r>
      <w:r w:rsidRPr="001E1145">
        <w:rPr>
          <w:rFonts w:ascii="Arial" w:hAnsi="Arial" w:cs="Arial"/>
          <w:sz w:val="22"/>
        </w:rPr>
        <w:t xml:space="preserve">"Underlying Asset" means </w:t>
      </w:r>
      <w:r>
        <w:rPr>
          <w:rFonts w:ascii="Arial" w:hAnsi="Arial" w:cs="Arial"/>
          <w:sz w:val="22"/>
        </w:rPr>
        <w:t>the asset to which the holder of an Asset-backed Digital Asset has a claim or right by virtue of holding the Asset-backed Digital Asset</w:t>
      </w:r>
      <w:r w:rsidRPr="001E1145">
        <w:rPr>
          <w:rFonts w:ascii="Arial" w:hAnsi="Arial" w:cs="Arial"/>
          <w:sz w:val="22"/>
        </w:rPr>
        <w:t>.</w:t>
      </w:r>
    </w:p>
    <w:p w14:paraId="3A491ACE" w14:textId="77777777" w:rsidR="00A47D16" w:rsidRPr="001E1145" w:rsidRDefault="00A47D16" w:rsidP="00A47D16">
      <w:pPr>
        <w:pStyle w:val="a"/>
        <w:rPr>
          <w:rFonts w:ascii="Arial" w:hAnsi="Arial" w:cs="Arial"/>
          <w:sz w:val="22"/>
        </w:rPr>
      </w:pPr>
      <w:r w:rsidRPr="001E1145">
        <w:rPr>
          <w:rFonts w:ascii="Arial" w:hAnsi="Arial" w:cs="Arial"/>
          <w:sz w:val="22"/>
        </w:rPr>
        <w:t>(b)</w:t>
      </w:r>
      <w:r w:rsidRPr="001E1145">
        <w:rPr>
          <w:rFonts w:ascii="Arial" w:hAnsi="Arial" w:cs="Arial"/>
          <w:sz w:val="22"/>
        </w:rPr>
        <w:tab/>
        <w:t xml:space="preserve">In the event of any conflict between the terms of this Annex and the Agreement the terms of this Annex shall prevail.  </w:t>
      </w:r>
    </w:p>
    <w:p w14:paraId="21962834" w14:textId="77777777" w:rsidR="00A47D16" w:rsidRPr="001E1145" w:rsidRDefault="00A47D16" w:rsidP="00A47D16">
      <w:pPr>
        <w:pStyle w:val="Heading3"/>
        <w:rPr>
          <w:rFonts w:ascii="Arial" w:hAnsi="Arial" w:cs="Arial"/>
          <w:sz w:val="22"/>
        </w:rPr>
      </w:pPr>
      <w:r w:rsidRPr="001E1145">
        <w:rPr>
          <w:rFonts w:ascii="Arial" w:hAnsi="Arial" w:cs="Arial"/>
          <w:sz w:val="22"/>
        </w:rPr>
        <w:t>3.</w:t>
      </w:r>
      <w:r w:rsidRPr="001E1145">
        <w:rPr>
          <w:rFonts w:ascii="Arial" w:hAnsi="Arial" w:cs="Arial"/>
          <w:sz w:val="22"/>
        </w:rPr>
        <w:tab/>
        <w:t>Securities</w:t>
      </w:r>
    </w:p>
    <w:p w14:paraId="189124CA" w14:textId="77777777" w:rsidR="00A47D16" w:rsidRDefault="00A47D16" w:rsidP="00A47D16">
      <w:pPr>
        <w:pStyle w:val="BodyText"/>
        <w:rPr>
          <w:rFonts w:ascii="Arial" w:hAnsi="Arial" w:cs="Arial"/>
          <w:sz w:val="22"/>
        </w:rPr>
      </w:pPr>
      <w:r w:rsidRPr="001E1145">
        <w:rPr>
          <w:rFonts w:ascii="Arial" w:hAnsi="Arial" w:cs="Arial"/>
          <w:sz w:val="22"/>
        </w:rPr>
        <w:t xml:space="preserve">For the purposes of paragraph 1.1 of the Agreement, the definition of Securities shall include </w:t>
      </w:r>
      <w:r>
        <w:rPr>
          <w:rFonts w:ascii="Arial" w:hAnsi="Arial" w:cs="Arial"/>
          <w:sz w:val="22"/>
        </w:rPr>
        <w:t xml:space="preserve">Asset-backed Digital Assets. </w:t>
      </w:r>
      <w:r w:rsidRPr="00D2719F">
        <w:rPr>
          <w:rFonts w:ascii="Arial" w:hAnsi="Arial" w:cs="Arial"/>
          <w:sz w:val="22"/>
        </w:rPr>
        <w:t xml:space="preserve">Platform </w:t>
      </w:r>
      <w:r>
        <w:rPr>
          <w:rFonts w:ascii="Arial" w:hAnsi="Arial" w:cs="Arial"/>
          <w:sz w:val="22"/>
        </w:rPr>
        <w:t xml:space="preserve">Transferred </w:t>
      </w:r>
      <w:r w:rsidRPr="00D2719F">
        <w:rPr>
          <w:rFonts w:ascii="Arial" w:hAnsi="Arial" w:cs="Arial"/>
          <w:sz w:val="22"/>
        </w:rPr>
        <w:t>Securit</w:t>
      </w:r>
      <w:r>
        <w:rPr>
          <w:rFonts w:ascii="Arial" w:hAnsi="Arial" w:cs="Arial"/>
          <w:sz w:val="22"/>
        </w:rPr>
        <w:t>ies</w:t>
      </w:r>
      <w:r w:rsidRPr="00D2719F">
        <w:rPr>
          <w:rFonts w:ascii="Arial" w:hAnsi="Arial" w:cs="Arial"/>
          <w:sz w:val="22"/>
        </w:rPr>
        <w:t xml:space="preserve"> are already included within the definition of Securities. For the purposes of paragraph </w:t>
      </w:r>
      <w:r>
        <w:rPr>
          <w:rFonts w:ascii="Arial" w:hAnsi="Arial" w:cs="Arial"/>
          <w:sz w:val="22"/>
        </w:rPr>
        <w:t>8.1</w:t>
      </w:r>
      <w:r w:rsidRPr="00D2719F">
        <w:rPr>
          <w:rFonts w:ascii="Arial" w:hAnsi="Arial" w:cs="Arial"/>
          <w:sz w:val="22"/>
        </w:rPr>
        <w:t xml:space="preserve">, it is noted that the </w:t>
      </w:r>
      <w:r>
        <w:rPr>
          <w:rFonts w:ascii="Arial" w:hAnsi="Arial" w:cs="Arial"/>
          <w:sz w:val="22"/>
        </w:rPr>
        <w:t>Business Day on which Lender would customarily be required to effect initial settlement and the standard settlement time</w:t>
      </w:r>
      <w:r w:rsidRPr="00D2719F">
        <w:rPr>
          <w:rFonts w:ascii="Arial" w:hAnsi="Arial" w:cs="Arial"/>
          <w:sz w:val="22"/>
        </w:rPr>
        <w:t xml:space="preserve"> for the settlement of Equivalent Securities</w:t>
      </w:r>
      <w:r>
        <w:rPr>
          <w:rFonts w:ascii="Arial" w:hAnsi="Arial" w:cs="Arial"/>
          <w:sz w:val="22"/>
        </w:rPr>
        <w:t xml:space="preserve"> </w:t>
      </w:r>
      <w:r w:rsidRPr="00D2719F">
        <w:rPr>
          <w:rFonts w:ascii="Arial" w:hAnsi="Arial" w:cs="Arial"/>
          <w:sz w:val="22"/>
        </w:rPr>
        <w:t xml:space="preserve">that are Platform </w:t>
      </w:r>
      <w:r>
        <w:rPr>
          <w:rFonts w:ascii="Arial" w:hAnsi="Arial" w:cs="Arial"/>
          <w:sz w:val="22"/>
        </w:rPr>
        <w:t xml:space="preserve">Transferred </w:t>
      </w:r>
      <w:r w:rsidRPr="00D2719F">
        <w:rPr>
          <w:rFonts w:ascii="Arial" w:hAnsi="Arial" w:cs="Arial"/>
          <w:sz w:val="22"/>
        </w:rPr>
        <w:t>Securit</w:t>
      </w:r>
      <w:r>
        <w:rPr>
          <w:rFonts w:ascii="Arial" w:hAnsi="Arial" w:cs="Arial"/>
          <w:sz w:val="22"/>
        </w:rPr>
        <w:t>ies</w:t>
      </w:r>
      <w:r w:rsidRPr="00D2719F">
        <w:rPr>
          <w:rFonts w:ascii="Arial" w:hAnsi="Arial" w:cs="Arial"/>
          <w:sz w:val="22"/>
        </w:rPr>
        <w:t xml:space="preserve"> may differ from the </w:t>
      </w:r>
      <w:r>
        <w:rPr>
          <w:rFonts w:ascii="Arial" w:hAnsi="Arial" w:cs="Arial"/>
          <w:sz w:val="22"/>
        </w:rPr>
        <w:t>Business Day on which Lender would customarily be required to effect initial settlement and the standard settlement time</w:t>
      </w:r>
      <w:r w:rsidRPr="00D2719F">
        <w:rPr>
          <w:rFonts w:ascii="Arial" w:hAnsi="Arial" w:cs="Arial"/>
          <w:sz w:val="22"/>
        </w:rPr>
        <w:t xml:space="preserve"> </w:t>
      </w:r>
      <w:r>
        <w:rPr>
          <w:rFonts w:ascii="Arial" w:hAnsi="Arial" w:cs="Arial"/>
          <w:sz w:val="22"/>
        </w:rPr>
        <w:t>(respectively)</w:t>
      </w:r>
      <w:r w:rsidRPr="00D2719F">
        <w:rPr>
          <w:rFonts w:ascii="Arial" w:hAnsi="Arial" w:cs="Arial"/>
          <w:sz w:val="22"/>
        </w:rPr>
        <w:t xml:space="preserve"> that would apply for the applicable traditional physical or dematerialised Security when it is not a Platform </w:t>
      </w:r>
      <w:r>
        <w:rPr>
          <w:rFonts w:ascii="Arial" w:hAnsi="Arial" w:cs="Arial"/>
          <w:sz w:val="22"/>
        </w:rPr>
        <w:t xml:space="preserve">Transferred </w:t>
      </w:r>
      <w:r w:rsidRPr="00D2719F">
        <w:rPr>
          <w:rFonts w:ascii="Arial" w:hAnsi="Arial" w:cs="Arial"/>
          <w:sz w:val="22"/>
        </w:rPr>
        <w:t>Securit</w:t>
      </w:r>
      <w:r>
        <w:rPr>
          <w:rFonts w:ascii="Arial" w:hAnsi="Arial" w:cs="Arial"/>
          <w:sz w:val="22"/>
        </w:rPr>
        <w:t>y</w:t>
      </w:r>
      <w:r w:rsidRPr="00D2719F">
        <w:rPr>
          <w:rFonts w:ascii="Arial" w:hAnsi="Arial" w:cs="Arial"/>
          <w:sz w:val="22"/>
        </w:rPr>
        <w:t>.</w:t>
      </w:r>
    </w:p>
    <w:p w14:paraId="133D2151" w14:textId="77777777" w:rsidR="00A47D16" w:rsidRDefault="00A47D16" w:rsidP="00A47D16">
      <w:pPr>
        <w:pStyle w:val="BodyText"/>
        <w:rPr>
          <w:rFonts w:ascii="Arial" w:hAnsi="Arial" w:cs="Arial"/>
          <w:sz w:val="22"/>
        </w:rPr>
      </w:pPr>
      <w:r>
        <w:rPr>
          <w:rFonts w:ascii="Arial" w:hAnsi="Arial" w:cs="Arial"/>
          <w:sz w:val="22"/>
        </w:rPr>
        <w:t>For the purposes of the Agreement, any reference to "securities" shall include Asset-backed Digital Assets and Platform Transferred Securities.</w:t>
      </w:r>
    </w:p>
    <w:p w14:paraId="2B33E24A" w14:textId="77777777" w:rsidR="00A47D16" w:rsidRPr="001E1145" w:rsidRDefault="00A47D16" w:rsidP="00A47D16">
      <w:pPr>
        <w:pStyle w:val="Heading3"/>
        <w:rPr>
          <w:rFonts w:ascii="Arial" w:hAnsi="Arial" w:cs="Arial"/>
          <w:sz w:val="22"/>
        </w:rPr>
      </w:pPr>
      <w:r>
        <w:rPr>
          <w:rFonts w:ascii="Arial" w:hAnsi="Arial" w:cs="Arial"/>
          <w:sz w:val="22"/>
        </w:rPr>
        <w:t>4</w:t>
      </w:r>
      <w:r w:rsidRPr="001E1145">
        <w:rPr>
          <w:rFonts w:ascii="Arial" w:hAnsi="Arial" w:cs="Arial"/>
          <w:sz w:val="22"/>
        </w:rPr>
        <w:t>.</w:t>
      </w:r>
      <w:r w:rsidRPr="001E1145">
        <w:rPr>
          <w:rFonts w:ascii="Arial" w:hAnsi="Arial" w:cs="Arial"/>
          <w:sz w:val="22"/>
        </w:rPr>
        <w:tab/>
        <w:t>Market Value</w:t>
      </w:r>
    </w:p>
    <w:p w14:paraId="007CFDC3" w14:textId="77777777" w:rsidR="00A47D16" w:rsidRPr="001E1145" w:rsidRDefault="00A47D16" w:rsidP="00A47D16">
      <w:pPr>
        <w:pStyle w:val="BodyText"/>
        <w:rPr>
          <w:rFonts w:ascii="Arial" w:hAnsi="Arial" w:cs="Arial"/>
          <w:sz w:val="22"/>
        </w:rPr>
      </w:pPr>
      <w:r w:rsidRPr="001E1145">
        <w:rPr>
          <w:rFonts w:ascii="Arial" w:hAnsi="Arial" w:cs="Arial"/>
          <w:sz w:val="22"/>
        </w:rPr>
        <w:t>For the purposes of paragraph 2.1 of the Agreement, an explanatory note shall be added at the end of the definition of "Market Value":</w:t>
      </w:r>
    </w:p>
    <w:p w14:paraId="561FE340" w14:textId="77777777" w:rsidR="00A47D16" w:rsidRPr="00AB3701" w:rsidRDefault="00A47D16" w:rsidP="00A47D16">
      <w:pPr>
        <w:pStyle w:val="BodyText"/>
        <w:rPr>
          <w:rFonts w:ascii="Arial" w:hAnsi="Arial" w:cs="Arial"/>
          <w:sz w:val="22"/>
        </w:rPr>
      </w:pPr>
      <w:r w:rsidRPr="001E1145">
        <w:rPr>
          <w:rFonts w:ascii="Arial" w:hAnsi="Arial" w:cs="Arial"/>
          <w:sz w:val="22"/>
        </w:rPr>
        <w:t xml:space="preserve">"The </w:t>
      </w:r>
      <w:r>
        <w:rPr>
          <w:rFonts w:ascii="Arial" w:hAnsi="Arial" w:cs="Arial"/>
          <w:sz w:val="22"/>
        </w:rPr>
        <w:t>P</w:t>
      </w:r>
      <w:r w:rsidRPr="001E1145">
        <w:rPr>
          <w:rFonts w:ascii="Arial" w:hAnsi="Arial" w:cs="Arial"/>
          <w:sz w:val="22"/>
        </w:rPr>
        <w:t xml:space="preserve">arties may agree that the Market Value for any </w:t>
      </w:r>
      <w:r>
        <w:rPr>
          <w:rFonts w:ascii="Arial" w:hAnsi="Arial" w:cs="Arial"/>
          <w:sz w:val="22"/>
        </w:rPr>
        <w:t>Asset-backed Digital Asset</w:t>
      </w:r>
      <w:r w:rsidRPr="001E1145">
        <w:rPr>
          <w:rFonts w:ascii="Arial" w:hAnsi="Arial" w:cs="Arial"/>
          <w:sz w:val="22"/>
        </w:rPr>
        <w:t xml:space="preserve"> </w:t>
      </w:r>
      <w:r>
        <w:rPr>
          <w:rFonts w:ascii="Arial" w:hAnsi="Arial" w:cs="Arial"/>
          <w:sz w:val="22"/>
        </w:rPr>
        <w:t xml:space="preserve">shall be </w:t>
      </w:r>
      <w:r w:rsidRPr="001E1145">
        <w:rPr>
          <w:rFonts w:ascii="Arial" w:hAnsi="Arial" w:cs="Arial"/>
          <w:sz w:val="22"/>
        </w:rPr>
        <w:t xml:space="preserve">determined by </w:t>
      </w:r>
      <w:r w:rsidRPr="00AB3701">
        <w:rPr>
          <w:rFonts w:ascii="Arial" w:hAnsi="Arial" w:cs="Arial"/>
          <w:sz w:val="22"/>
        </w:rPr>
        <w:t>reference to the applicable Underlying Assets.</w:t>
      </w:r>
      <w:r w:rsidRPr="00D00018">
        <w:rPr>
          <w:rFonts w:ascii="Arial" w:hAnsi="Arial" w:cs="Arial"/>
          <w:sz w:val="22"/>
        </w:rPr>
        <w:t xml:space="preserve"> </w:t>
      </w:r>
      <w:r w:rsidRPr="00D2719F">
        <w:rPr>
          <w:rFonts w:ascii="Arial" w:hAnsi="Arial" w:cs="Arial"/>
          <w:sz w:val="22"/>
        </w:rPr>
        <w:t xml:space="preserve">Platform </w:t>
      </w:r>
      <w:r>
        <w:rPr>
          <w:rFonts w:ascii="Arial" w:hAnsi="Arial" w:cs="Arial"/>
          <w:sz w:val="22"/>
        </w:rPr>
        <w:t xml:space="preserve">Transferred </w:t>
      </w:r>
      <w:r w:rsidRPr="00D2719F">
        <w:rPr>
          <w:rFonts w:ascii="Arial" w:hAnsi="Arial" w:cs="Arial"/>
          <w:sz w:val="22"/>
        </w:rPr>
        <w:t>Securit</w:t>
      </w:r>
      <w:r>
        <w:rPr>
          <w:rFonts w:ascii="Arial" w:hAnsi="Arial" w:cs="Arial"/>
          <w:sz w:val="22"/>
        </w:rPr>
        <w:t>ies</w:t>
      </w:r>
      <w:r w:rsidRPr="00D2719F">
        <w:rPr>
          <w:rFonts w:ascii="Arial" w:hAnsi="Arial" w:cs="Arial"/>
          <w:sz w:val="22"/>
        </w:rPr>
        <w:t xml:space="preserve"> are not a separate asset from the applicable traditional physical or dematerialised Security and on that basis, unless otherwise agreed, the Market Value for a Platform </w:t>
      </w:r>
      <w:r>
        <w:rPr>
          <w:rFonts w:ascii="Arial" w:hAnsi="Arial" w:cs="Arial"/>
          <w:sz w:val="22"/>
        </w:rPr>
        <w:t xml:space="preserve">Transferred </w:t>
      </w:r>
      <w:r w:rsidRPr="00D2719F">
        <w:rPr>
          <w:rFonts w:ascii="Arial" w:hAnsi="Arial" w:cs="Arial"/>
          <w:sz w:val="22"/>
        </w:rPr>
        <w:t>Securit</w:t>
      </w:r>
      <w:r>
        <w:rPr>
          <w:rFonts w:ascii="Arial" w:hAnsi="Arial" w:cs="Arial"/>
          <w:sz w:val="22"/>
        </w:rPr>
        <w:t>y</w:t>
      </w:r>
      <w:r w:rsidRPr="00D2719F">
        <w:rPr>
          <w:rFonts w:ascii="Arial" w:hAnsi="Arial" w:cs="Arial"/>
          <w:sz w:val="22"/>
        </w:rPr>
        <w:t xml:space="preserve"> is not distinct from the Market Value for such a Security when it is not </w:t>
      </w:r>
      <w:r>
        <w:rPr>
          <w:rFonts w:ascii="Arial" w:hAnsi="Arial" w:cs="Arial"/>
          <w:sz w:val="22"/>
        </w:rPr>
        <w:t xml:space="preserve">a </w:t>
      </w:r>
      <w:r w:rsidRPr="00D2719F">
        <w:rPr>
          <w:rFonts w:ascii="Arial" w:hAnsi="Arial" w:cs="Arial"/>
          <w:sz w:val="22"/>
        </w:rPr>
        <w:t xml:space="preserve">Platform </w:t>
      </w:r>
      <w:r>
        <w:rPr>
          <w:rFonts w:ascii="Arial" w:hAnsi="Arial" w:cs="Arial"/>
          <w:sz w:val="22"/>
        </w:rPr>
        <w:t xml:space="preserve">Transferred </w:t>
      </w:r>
      <w:r w:rsidRPr="00D2719F">
        <w:rPr>
          <w:rFonts w:ascii="Arial" w:hAnsi="Arial" w:cs="Arial"/>
          <w:sz w:val="22"/>
        </w:rPr>
        <w:t>Securit</w:t>
      </w:r>
      <w:r>
        <w:rPr>
          <w:rFonts w:ascii="Arial" w:hAnsi="Arial" w:cs="Arial"/>
          <w:sz w:val="22"/>
        </w:rPr>
        <w:t>y</w:t>
      </w:r>
      <w:r w:rsidRPr="00D2719F">
        <w:rPr>
          <w:rFonts w:ascii="Arial" w:hAnsi="Arial" w:cs="Arial"/>
          <w:sz w:val="22"/>
        </w:rPr>
        <w:t>.</w:t>
      </w:r>
      <w:r w:rsidRPr="00AB3701">
        <w:rPr>
          <w:rFonts w:ascii="Arial" w:hAnsi="Arial" w:cs="Arial"/>
          <w:sz w:val="22"/>
        </w:rPr>
        <w:t>"</w:t>
      </w:r>
    </w:p>
    <w:p w14:paraId="205DFE0C" w14:textId="77777777" w:rsidR="00A47D16" w:rsidRPr="00AB3701" w:rsidRDefault="00A47D16" w:rsidP="00A47D16">
      <w:pPr>
        <w:pStyle w:val="Heading3"/>
        <w:rPr>
          <w:rFonts w:ascii="Arial" w:hAnsi="Arial" w:cs="Arial"/>
          <w:sz w:val="22"/>
        </w:rPr>
      </w:pPr>
      <w:r>
        <w:rPr>
          <w:rFonts w:ascii="Arial" w:hAnsi="Arial" w:cs="Arial"/>
          <w:sz w:val="22"/>
        </w:rPr>
        <w:t>5</w:t>
      </w:r>
      <w:r w:rsidRPr="00AB3701">
        <w:rPr>
          <w:rFonts w:ascii="Arial" w:hAnsi="Arial" w:cs="Arial"/>
          <w:sz w:val="22"/>
        </w:rPr>
        <w:t>.</w:t>
      </w:r>
      <w:r w:rsidRPr="00AB3701">
        <w:rPr>
          <w:rFonts w:ascii="Arial" w:hAnsi="Arial" w:cs="Arial"/>
          <w:sz w:val="22"/>
        </w:rPr>
        <w:tab/>
        <w:t>Equivalent securities</w:t>
      </w:r>
    </w:p>
    <w:p w14:paraId="50E7D199" w14:textId="77777777" w:rsidR="00A47D16" w:rsidRPr="00AB3701" w:rsidRDefault="00A47D16" w:rsidP="00A47D16">
      <w:pPr>
        <w:pStyle w:val="BodyText"/>
        <w:ind w:left="720" w:hanging="720"/>
        <w:rPr>
          <w:rFonts w:ascii="Arial" w:hAnsi="Arial" w:cs="Arial"/>
          <w:sz w:val="22"/>
        </w:rPr>
      </w:pPr>
      <w:r w:rsidRPr="00AB3701">
        <w:rPr>
          <w:rFonts w:ascii="Arial" w:hAnsi="Arial" w:cs="Arial"/>
          <w:sz w:val="22"/>
        </w:rPr>
        <w:t xml:space="preserve">(a) </w:t>
      </w:r>
      <w:r w:rsidRPr="00AB3701">
        <w:rPr>
          <w:rFonts w:ascii="Arial" w:hAnsi="Arial" w:cs="Arial"/>
          <w:sz w:val="22"/>
        </w:rPr>
        <w:tab/>
        <w:t>For the purposes of paragraph 11 of the Agreement</w:t>
      </w:r>
      <w:r>
        <w:rPr>
          <w:rFonts w:ascii="Arial" w:hAnsi="Arial" w:cs="Arial"/>
          <w:sz w:val="22"/>
        </w:rPr>
        <w:t>,</w:t>
      </w:r>
      <w:r w:rsidRPr="00AB3701">
        <w:rPr>
          <w:rFonts w:ascii="Arial" w:hAnsi="Arial" w:cs="Arial"/>
          <w:sz w:val="22"/>
        </w:rPr>
        <w:t xml:space="preserve"> a Non-Defaulting Party may elect to treat the Underlying Asset as equivalent to the relevant </w:t>
      </w:r>
      <w:r>
        <w:rPr>
          <w:rFonts w:ascii="Arial" w:hAnsi="Arial" w:cs="Arial"/>
          <w:sz w:val="22"/>
        </w:rPr>
        <w:t>Asset-backed Digital Asset</w:t>
      </w:r>
      <w:r w:rsidRPr="00AB3701">
        <w:rPr>
          <w:rFonts w:ascii="Arial" w:hAnsi="Arial" w:cs="Arial"/>
          <w:sz w:val="22"/>
        </w:rPr>
        <w:t xml:space="preserve"> for the purposes of calculating the Default Market Value</w:t>
      </w:r>
      <w:r>
        <w:rPr>
          <w:rFonts w:ascii="Arial" w:hAnsi="Arial" w:cs="Arial"/>
          <w:sz w:val="22"/>
        </w:rPr>
        <w:t>.</w:t>
      </w:r>
    </w:p>
    <w:p w14:paraId="6860C01C" w14:textId="77777777" w:rsidR="00A47D16" w:rsidRDefault="00A47D16" w:rsidP="00A47D16">
      <w:pPr>
        <w:pStyle w:val="BodyText"/>
        <w:ind w:left="720" w:hanging="720"/>
        <w:rPr>
          <w:rFonts w:ascii="Arial" w:hAnsi="Arial" w:cs="Arial"/>
          <w:sz w:val="22"/>
        </w:rPr>
      </w:pPr>
      <w:r w:rsidRPr="00AB3701">
        <w:rPr>
          <w:rFonts w:ascii="Arial" w:hAnsi="Arial" w:cs="Arial"/>
          <w:sz w:val="22"/>
        </w:rPr>
        <w:t>(b)</w:t>
      </w:r>
      <w:r w:rsidRPr="00AB3701">
        <w:rPr>
          <w:rFonts w:ascii="Arial" w:hAnsi="Arial" w:cs="Arial"/>
          <w:sz w:val="22"/>
        </w:rPr>
        <w:tab/>
      </w:r>
      <w:r>
        <w:rPr>
          <w:rFonts w:ascii="Arial" w:hAnsi="Arial" w:cs="Arial"/>
          <w:sz w:val="22"/>
        </w:rPr>
        <w:t>T</w:t>
      </w:r>
      <w:r w:rsidRPr="00AB3701">
        <w:rPr>
          <w:rFonts w:ascii="Arial" w:hAnsi="Arial" w:cs="Arial"/>
          <w:sz w:val="22"/>
        </w:rPr>
        <w:t xml:space="preserve">he </w:t>
      </w:r>
      <w:r>
        <w:rPr>
          <w:rFonts w:ascii="Arial" w:hAnsi="Arial" w:cs="Arial"/>
          <w:sz w:val="22"/>
        </w:rPr>
        <w:t>P</w:t>
      </w:r>
      <w:r w:rsidRPr="00AB3701">
        <w:rPr>
          <w:rFonts w:ascii="Arial" w:hAnsi="Arial" w:cs="Arial"/>
          <w:sz w:val="22"/>
        </w:rPr>
        <w:t xml:space="preserve">arties may agree to treat the </w:t>
      </w:r>
      <w:r>
        <w:rPr>
          <w:rFonts w:ascii="Arial" w:hAnsi="Arial" w:cs="Arial"/>
          <w:sz w:val="22"/>
        </w:rPr>
        <w:t>Underlying A</w:t>
      </w:r>
      <w:r w:rsidRPr="00AB3701">
        <w:rPr>
          <w:rFonts w:ascii="Arial" w:hAnsi="Arial" w:cs="Arial"/>
          <w:sz w:val="22"/>
        </w:rPr>
        <w:t>sset</w:t>
      </w:r>
      <w:r>
        <w:rPr>
          <w:rFonts w:ascii="Arial" w:hAnsi="Arial" w:cs="Arial"/>
          <w:sz w:val="22"/>
        </w:rPr>
        <w:t xml:space="preserve"> of an Asset-backed Digital Asset as equivalent to such Asset-backed Digital Asset for any purpose or purposes</w:t>
      </w:r>
      <w:r w:rsidRPr="00AB3701">
        <w:rPr>
          <w:rFonts w:ascii="Arial" w:hAnsi="Arial" w:cs="Arial"/>
          <w:sz w:val="22"/>
        </w:rPr>
        <w:t>.</w:t>
      </w:r>
    </w:p>
    <w:p w14:paraId="62B6D0BB" w14:textId="77777777" w:rsidR="00A47D16" w:rsidRPr="00AB3701" w:rsidRDefault="00A47D16" w:rsidP="00A47D16">
      <w:pPr>
        <w:pStyle w:val="BodyText"/>
        <w:ind w:left="720" w:hanging="720"/>
        <w:rPr>
          <w:rFonts w:ascii="Arial" w:hAnsi="Arial" w:cs="Arial"/>
          <w:sz w:val="22"/>
        </w:rPr>
      </w:pPr>
      <w:r>
        <w:rPr>
          <w:rFonts w:ascii="Arial" w:hAnsi="Arial" w:cs="Arial"/>
          <w:sz w:val="22"/>
        </w:rPr>
        <w:lastRenderedPageBreak/>
        <w:t>(c)</w:t>
      </w:r>
      <w:r>
        <w:rPr>
          <w:rFonts w:ascii="Arial" w:hAnsi="Arial" w:cs="Arial"/>
          <w:sz w:val="22"/>
        </w:rPr>
        <w:tab/>
      </w:r>
      <w:r w:rsidRPr="00D2719F">
        <w:rPr>
          <w:rFonts w:ascii="Arial" w:hAnsi="Arial" w:cs="Arial"/>
          <w:sz w:val="22"/>
        </w:rPr>
        <w:t xml:space="preserve">Platform </w:t>
      </w:r>
      <w:r>
        <w:rPr>
          <w:rFonts w:ascii="Arial" w:hAnsi="Arial" w:cs="Arial"/>
          <w:sz w:val="22"/>
        </w:rPr>
        <w:t xml:space="preserve">Transferred </w:t>
      </w:r>
      <w:r w:rsidRPr="00D2719F">
        <w:rPr>
          <w:rFonts w:ascii="Arial" w:hAnsi="Arial" w:cs="Arial"/>
          <w:sz w:val="22"/>
        </w:rPr>
        <w:t>Securit</w:t>
      </w:r>
      <w:r>
        <w:rPr>
          <w:rFonts w:ascii="Arial" w:hAnsi="Arial" w:cs="Arial"/>
          <w:sz w:val="22"/>
        </w:rPr>
        <w:t>ies</w:t>
      </w:r>
      <w:r w:rsidRPr="00D2719F">
        <w:rPr>
          <w:rFonts w:ascii="Arial" w:hAnsi="Arial" w:cs="Arial"/>
          <w:sz w:val="22"/>
        </w:rPr>
        <w:t xml:space="preserve"> are not a separate asset from the applicable traditional physical or dematerialised Security and on that basis, unless otherwise agreed, the Equivalent Securities</w:t>
      </w:r>
      <w:r>
        <w:rPr>
          <w:rFonts w:ascii="Arial" w:hAnsi="Arial" w:cs="Arial"/>
          <w:sz w:val="22"/>
        </w:rPr>
        <w:t xml:space="preserve"> </w:t>
      </w:r>
      <w:r w:rsidRPr="00D2719F">
        <w:rPr>
          <w:rFonts w:ascii="Arial" w:hAnsi="Arial" w:cs="Arial"/>
          <w:sz w:val="22"/>
        </w:rPr>
        <w:t xml:space="preserve">for a Platform </w:t>
      </w:r>
      <w:r>
        <w:rPr>
          <w:rFonts w:ascii="Arial" w:hAnsi="Arial" w:cs="Arial"/>
          <w:sz w:val="22"/>
        </w:rPr>
        <w:t xml:space="preserve">Transferred </w:t>
      </w:r>
      <w:r w:rsidRPr="00D2719F">
        <w:rPr>
          <w:rFonts w:ascii="Arial" w:hAnsi="Arial" w:cs="Arial"/>
          <w:sz w:val="22"/>
        </w:rPr>
        <w:t>Securit</w:t>
      </w:r>
      <w:r>
        <w:rPr>
          <w:rFonts w:ascii="Arial" w:hAnsi="Arial" w:cs="Arial"/>
          <w:sz w:val="22"/>
        </w:rPr>
        <w:t>y</w:t>
      </w:r>
      <w:r w:rsidRPr="00D2719F">
        <w:rPr>
          <w:rFonts w:ascii="Arial" w:hAnsi="Arial" w:cs="Arial"/>
          <w:sz w:val="22"/>
        </w:rPr>
        <w:t xml:space="preserve"> are not required to be Platform </w:t>
      </w:r>
      <w:r>
        <w:rPr>
          <w:rFonts w:ascii="Arial" w:hAnsi="Arial" w:cs="Arial"/>
          <w:sz w:val="22"/>
        </w:rPr>
        <w:t xml:space="preserve">Transferred </w:t>
      </w:r>
      <w:r w:rsidRPr="00D2719F">
        <w:rPr>
          <w:rFonts w:ascii="Arial" w:hAnsi="Arial" w:cs="Arial"/>
          <w:sz w:val="22"/>
        </w:rPr>
        <w:t>Securit</w:t>
      </w:r>
      <w:r>
        <w:rPr>
          <w:rFonts w:ascii="Arial" w:hAnsi="Arial" w:cs="Arial"/>
          <w:sz w:val="22"/>
        </w:rPr>
        <w:t>ies</w:t>
      </w:r>
      <w:r w:rsidRPr="00D2719F">
        <w:rPr>
          <w:rFonts w:ascii="Arial" w:hAnsi="Arial" w:cs="Arial"/>
          <w:sz w:val="22"/>
        </w:rPr>
        <w:t>.</w:t>
      </w:r>
    </w:p>
    <w:p w14:paraId="1A72789E" w14:textId="77777777" w:rsidR="00A47D16" w:rsidRDefault="00A47D16" w:rsidP="00A47D16">
      <w:pPr>
        <w:pStyle w:val="Heading3"/>
        <w:rPr>
          <w:rFonts w:ascii="Arial" w:hAnsi="Arial" w:cs="Arial"/>
          <w:sz w:val="22"/>
        </w:rPr>
      </w:pPr>
      <w:r>
        <w:rPr>
          <w:rFonts w:ascii="Arial" w:hAnsi="Arial" w:cs="Arial"/>
          <w:sz w:val="22"/>
        </w:rPr>
        <w:t>6.</w:t>
      </w:r>
      <w:r>
        <w:rPr>
          <w:rFonts w:ascii="Arial" w:hAnsi="Arial" w:cs="Arial"/>
          <w:sz w:val="22"/>
        </w:rPr>
        <w:tab/>
        <w:t>Terminable on demand</w:t>
      </w:r>
    </w:p>
    <w:p w14:paraId="348A0158" w14:textId="77777777" w:rsidR="00A47D16" w:rsidRDefault="00A47D16" w:rsidP="00A47D16">
      <w:pPr>
        <w:pStyle w:val="BodyText"/>
        <w:rPr>
          <w:rFonts w:ascii="Arial" w:hAnsi="Arial" w:cs="Arial"/>
          <w:sz w:val="22"/>
        </w:rPr>
      </w:pPr>
      <w:r>
        <w:rPr>
          <w:rFonts w:ascii="Arial" w:hAnsi="Arial" w:cs="Arial"/>
          <w:sz w:val="22"/>
        </w:rPr>
        <w:t xml:space="preserve">Any Platform Loan to which this Annex applies shall be capable of termination under paragraph 8.1 or 8.2 of the Agreement, notwithstanding any agreement to the contrary in paragraph 11 or the terms of the relevant Platform Loan (unless such agreement specifically overrides this Annex) if: </w:t>
      </w:r>
    </w:p>
    <w:p w14:paraId="2D624C6F" w14:textId="77777777" w:rsidR="00A47D16" w:rsidRDefault="00A47D16" w:rsidP="00A47D16">
      <w:pPr>
        <w:pStyle w:val="BodyText"/>
        <w:rPr>
          <w:rFonts w:ascii="Arial" w:hAnsi="Arial" w:cs="Arial"/>
          <w:sz w:val="22"/>
        </w:rPr>
      </w:pPr>
      <w:r>
        <w:rPr>
          <w:rFonts w:ascii="Arial" w:hAnsi="Arial" w:cs="Arial"/>
          <w:sz w:val="22"/>
        </w:rPr>
        <w:t xml:space="preserve">(a) </w:t>
      </w:r>
      <w:r>
        <w:rPr>
          <w:rFonts w:ascii="Arial" w:hAnsi="Arial" w:cs="Arial"/>
          <w:sz w:val="22"/>
        </w:rPr>
        <w:tab/>
        <w:t>the relevant Platform is suspended or ceases to be operable; or</w:t>
      </w:r>
    </w:p>
    <w:p w14:paraId="2F1B1265" w14:textId="77777777" w:rsidR="00A47D16" w:rsidRDefault="00A47D16" w:rsidP="00A47D16">
      <w:pPr>
        <w:pStyle w:val="BodyText"/>
        <w:ind w:left="720" w:hanging="720"/>
        <w:rPr>
          <w:rFonts w:ascii="Arial" w:hAnsi="Arial" w:cs="Arial"/>
          <w:sz w:val="22"/>
        </w:rPr>
      </w:pPr>
      <w:r>
        <w:rPr>
          <w:rFonts w:ascii="Arial" w:hAnsi="Arial" w:cs="Arial"/>
          <w:sz w:val="22"/>
        </w:rPr>
        <w:t xml:space="preserve">(b) </w:t>
      </w:r>
      <w:r>
        <w:rPr>
          <w:rFonts w:ascii="Arial" w:hAnsi="Arial" w:cs="Arial"/>
          <w:sz w:val="22"/>
        </w:rPr>
        <w:tab/>
        <w:t xml:space="preserve">any third party that is essential for the intended transfers on the relevant Platform is declared in default or is suspended or expelled or resigns from membership of or participation in the relevant Platform, </w:t>
      </w:r>
    </w:p>
    <w:p w14:paraId="3C9D7EE3" w14:textId="77777777" w:rsidR="00A47D16" w:rsidRDefault="00A47D16" w:rsidP="00A47D16">
      <w:pPr>
        <w:pStyle w:val="BodyText"/>
        <w:ind w:left="720" w:hanging="720"/>
        <w:rPr>
          <w:rFonts w:ascii="Arial" w:hAnsi="Arial" w:cs="Arial"/>
          <w:sz w:val="22"/>
        </w:rPr>
      </w:pPr>
      <w:r>
        <w:rPr>
          <w:rFonts w:ascii="Arial" w:hAnsi="Arial" w:cs="Arial"/>
          <w:sz w:val="22"/>
        </w:rPr>
        <w:t>(each of (a) and (b) being a "</w:t>
      </w:r>
      <w:r w:rsidRPr="00BE5DBD">
        <w:rPr>
          <w:rFonts w:ascii="Arial" w:hAnsi="Arial" w:cs="Arial"/>
          <w:b/>
          <w:bCs/>
          <w:sz w:val="22"/>
        </w:rPr>
        <w:t>Platform Event</w:t>
      </w:r>
      <w:r>
        <w:rPr>
          <w:rFonts w:ascii="Arial" w:hAnsi="Arial" w:cs="Arial"/>
          <w:sz w:val="22"/>
        </w:rPr>
        <w:t>").</w:t>
      </w:r>
    </w:p>
    <w:p w14:paraId="0119AE46" w14:textId="77777777" w:rsidR="00A47D16" w:rsidRDefault="00A47D16" w:rsidP="00A47D16">
      <w:pPr>
        <w:pStyle w:val="BodyText"/>
        <w:rPr>
          <w:rFonts w:ascii="Arial" w:hAnsi="Arial" w:cs="Arial"/>
          <w:sz w:val="22"/>
        </w:rPr>
      </w:pPr>
      <w:r>
        <w:rPr>
          <w:rFonts w:ascii="Arial" w:hAnsi="Arial" w:cs="Arial"/>
          <w:sz w:val="22"/>
        </w:rPr>
        <w:t>The Parties may agree to waive a Platform Event in respect of a Platform Loan in writing, in which case the agreed Platform Loans will not be capable of termination under paragraph 8.1 or 8.2 of the Agreement.</w:t>
      </w:r>
    </w:p>
    <w:p w14:paraId="513F64CF" w14:textId="77777777" w:rsidR="00A47D16" w:rsidRPr="00902872" w:rsidRDefault="00A47D16" w:rsidP="00A47D16">
      <w:pPr>
        <w:pStyle w:val="BodyText"/>
        <w:rPr>
          <w:rFonts w:ascii="Arial" w:hAnsi="Arial" w:cs="Arial"/>
          <w:b/>
          <w:bCs/>
          <w:sz w:val="22"/>
        </w:rPr>
      </w:pPr>
      <w:r>
        <w:rPr>
          <w:rFonts w:ascii="Arial" w:hAnsi="Arial" w:cs="Arial"/>
          <w:b/>
          <w:bCs/>
          <w:sz w:val="22"/>
        </w:rPr>
        <w:t>7</w:t>
      </w:r>
      <w:r w:rsidRPr="00902872">
        <w:rPr>
          <w:rFonts w:ascii="Arial" w:hAnsi="Arial" w:cs="Arial"/>
          <w:b/>
          <w:bCs/>
          <w:sz w:val="22"/>
        </w:rPr>
        <w:t>.</w:t>
      </w:r>
      <w:r w:rsidRPr="00902872">
        <w:rPr>
          <w:rFonts w:ascii="Arial" w:hAnsi="Arial" w:cs="Arial"/>
          <w:b/>
          <w:bCs/>
          <w:sz w:val="22"/>
        </w:rPr>
        <w:tab/>
        <w:t xml:space="preserve">Platform </w:t>
      </w:r>
      <w:r>
        <w:rPr>
          <w:rFonts w:ascii="Arial" w:hAnsi="Arial" w:cs="Arial"/>
          <w:b/>
          <w:bCs/>
          <w:sz w:val="22"/>
        </w:rPr>
        <w:t xml:space="preserve">Event of </w:t>
      </w:r>
      <w:r w:rsidRPr="00902872">
        <w:rPr>
          <w:rFonts w:ascii="Arial" w:hAnsi="Arial" w:cs="Arial"/>
          <w:b/>
          <w:bCs/>
          <w:sz w:val="22"/>
        </w:rPr>
        <w:t>Default</w:t>
      </w:r>
    </w:p>
    <w:p w14:paraId="080B2794" w14:textId="77777777" w:rsidR="00A47D16" w:rsidRPr="00902872" w:rsidRDefault="00A47D16" w:rsidP="00A47D16">
      <w:pPr>
        <w:pStyle w:val="BodyText"/>
        <w:ind w:left="720" w:hanging="720"/>
        <w:rPr>
          <w:rFonts w:ascii="Arial" w:hAnsi="Arial" w:cs="Arial"/>
          <w:sz w:val="22"/>
        </w:rPr>
      </w:pPr>
      <w:r>
        <w:rPr>
          <w:rFonts w:ascii="Arial" w:hAnsi="Arial" w:cs="Arial"/>
          <w:sz w:val="22"/>
        </w:rPr>
        <w:t>(a)</w:t>
      </w:r>
      <w:r>
        <w:rPr>
          <w:rFonts w:ascii="Arial" w:hAnsi="Arial" w:cs="Arial"/>
          <w:sz w:val="22"/>
        </w:rPr>
        <w:tab/>
      </w:r>
      <w:r w:rsidRPr="00902872">
        <w:rPr>
          <w:rFonts w:ascii="Arial" w:hAnsi="Arial" w:cs="Arial"/>
          <w:sz w:val="22"/>
        </w:rPr>
        <w:t>For the purposes of paragraph 10.1 of the Agreement, the following shall be added as a new limb at the end of paragraph 10.1 (numbered accordingly):</w:t>
      </w:r>
    </w:p>
    <w:p w14:paraId="2EFA178F" w14:textId="77777777" w:rsidR="00A47D16" w:rsidRDefault="00A47D16" w:rsidP="00A47D16">
      <w:pPr>
        <w:pStyle w:val="BodyText"/>
        <w:ind w:left="1440" w:hanging="720"/>
        <w:rPr>
          <w:rFonts w:ascii="Arial" w:hAnsi="Arial" w:cs="Arial"/>
          <w:sz w:val="22"/>
        </w:rPr>
      </w:pPr>
      <w:r w:rsidRPr="00902872">
        <w:rPr>
          <w:rFonts w:ascii="Arial" w:hAnsi="Arial" w:cs="Arial"/>
          <w:sz w:val="22"/>
        </w:rPr>
        <w:t>"(</w:t>
      </w:r>
      <w:r>
        <w:rPr>
          <w:rFonts w:ascii="Arial" w:hAnsi="Arial" w:cs="Arial"/>
          <w:sz w:val="22"/>
        </w:rPr>
        <w:t>k</w:t>
      </w:r>
      <w:r w:rsidRPr="00902872">
        <w:rPr>
          <w:rFonts w:ascii="Arial" w:hAnsi="Arial" w:cs="Arial"/>
          <w:sz w:val="22"/>
        </w:rPr>
        <w:t xml:space="preserve">) </w:t>
      </w:r>
      <w:r w:rsidRPr="00902872">
        <w:rPr>
          <w:rFonts w:ascii="Arial" w:hAnsi="Arial" w:cs="Arial"/>
          <w:sz w:val="22"/>
        </w:rPr>
        <w:tab/>
        <w:t xml:space="preserve">Lender or Borrower being declared in default or </w:t>
      </w:r>
      <w:r>
        <w:rPr>
          <w:rFonts w:ascii="Arial" w:hAnsi="Arial" w:cs="Arial"/>
          <w:sz w:val="22"/>
        </w:rPr>
        <w:t>being</w:t>
      </w:r>
      <w:r w:rsidRPr="00902872">
        <w:rPr>
          <w:rFonts w:ascii="Arial" w:hAnsi="Arial" w:cs="Arial"/>
          <w:sz w:val="22"/>
        </w:rPr>
        <w:t xml:space="preserve"> suspended or expelled or resign</w:t>
      </w:r>
      <w:r>
        <w:rPr>
          <w:rFonts w:ascii="Arial" w:hAnsi="Arial" w:cs="Arial"/>
          <w:sz w:val="22"/>
        </w:rPr>
        <w:t>ing</w:t>
      </w:r>
      <w:r w:rsidRPr="00902872">
        <w:rPr>
          <w:rFonts w:ascii="Arial" w:hAnsi="Arial" w:cs="Arial"/>
          <w:sz w:val="22"/>
        </w:rPr>
        <w:t xml:space="preserve"> from membership of or participation in a Platform</w:t>
      </w:r>
      <w:r>
        <w:rPr>
          <w:rFonts w:ascii="Arial" w:hAnsi="Arial" w:cs="Arial"/>
          <w:sz w:val="22"/>
        </w:rPr>
        <w:t xml:space="preserve"> upon which a Platform Loan of, in whole or in part, an Asset-backed Digital Asset</w:t>
      </w:r>
      <w:r w:rsidRPr="00654268">
        <w:rPr>
          <w:rFonts w:ascii="Arial" w:hAnsi="Arial" w:cs="Arial"/>
          <w:sz w:val="22"/>
        </w:rPr>
        <w:t xml:space="preserve"> </w:t>
      </w:r>
      <w:r>
        <w:rPr>
          <w:rFonts w:ascii="Arial" w:hAnsi="Arial" w:cs="Arial"/>
          <w:sz w:val="22"/>
        </w:rPr>
        <w:t>is in place (a "</w:t>
      </w:r>
      <w:r>
        <w:rPr>
          <w:rFonts w:ascii="Arial" w:hAnsi="Arial" w:cs="Arial"/>
          <w:b/>
          <w:bCs/>
          <w:sz w:val="22"/>
        </w:rPr>
        <w:t>Platform Event of Default</w:t>
      </w:r>
      <w:r>
        <w:rPr>
          <w:rFonts w:ascii="Arial" w:hAnsi="Arial" w:cs="Arial"/>
          <w:sz w:val="22"/>
        </w:rPr>
        <w:t xml:space="preserve">"), </w:t>
      </w:r>
      <w:r>
        <w:rPr>
          <w:rFonts w:ascii="Arial" w:hAnsi="Arial" w:cs="Arial"/>
          <w:b/>
          <w:bCs/>
          <w:sz w:val="22"/>
        </w:rPr>
        <w:t>provided that</w:t>
      </w:r>
      <w:r>
        <w:rPr>
          <w:rFonts w:ascii="Arial" w:hAnsi="Arial" w:cs="Arial"/>
          <w:sz w:val="22"/>
        </w:rPr>
        <w:t>, following delivery of written notice by the Non-Defaulting Party in relation to a Platform Event of Default in accordance with paragraph 10.1 of the Agreement, paragraphs 11.2 to 11.7 shall apply only to Platform Loans of, in whole or in part, an Asset-backed Digital Asset related to the relevant Platform. For the avoidance of doubt, nothing in the foregoing shall impact the operation of paragraph 11.2 to 11.7 following a different Event of Default.</w:t>
      </w:r>
      <w:r w:rsidRPr="00902872">
        <w:rPr>
          <w:rFonts w:ascii="Arial" w:hAnsi="Arial" w:cs="Arial"/>
          <w:sz w:val="22"/>
        </w:rPr>
        <w:t>"</w:t>
      </w:r>
      <w:r w:rsidRPr="00FD2A55">
        <w:rPr>
          <w:rFonts w:ascii="Arial" w:hAnsi="Arial" w:cs="Arial"/>
          <w:sz w:val="22"/>
        </w:rPr>
        <w:t xml:space="preserve"> </w:t>
      </w:r>
    </w:p>
    <w:p w14:paraId="4B6684AB" w14:textId="77777777" w:rsidR="00A47D16" w:rsidRPr="00FD2A55" w:rsidRDefault="00A47D16" w:rsidP="00A47D16">
      <w:pPr>
        <w:pStyle w:val="BodyText"/>
        <w:ind w:left="720" w:hanging="720"/>
        <w:rPr>
          <w:rFonts w:ascii="Arial" w:hAnsi="Arial" w:cs="Arial"/>
          <w:sz w:val="22"/>
        </w:rPr>
      </w:pPr>
      <w:r>
        <w:rPr>
          <w:rFonts w:ascii="Arial" w:hAnsi="Arial" w:cs="Arial"/>
          <w:sz w:val="22"/>
        </w:rPr>
        <w:t>(b)</w:t>
      </w:r>
      <w:r>
        <w:rPr>
          <w:rFonts w:ascii="Arial" w:hAnsi="Arial" w:cs="Arial"/>
          <w:sz w:val="22"/>
        </w:rPr>
        <w:tab/>
        <w:t xml:space="preserve">Unless otherwise agreed by the Parties, if </w:t>
      </w:r>
      <w:r w:rsidRPr="00902872">
        <w:rPr>
          <w:rFonts w:ascii="Arial" w:hAnsi="Arial" w:cs="Arial"/>
          <w:sz w:val="22"/>
        </w:rPr>
        <w:t xml:space="preserve">Lender or Borrower </w:t>
      </w:r>
      <w:r>
        <w:rPr>
          <w:rFonts w:ascii="Arial" w:hAnsi="Arial" w:cs="Arial"/>
          <w:sz w:val="22"/>
        </w:rPr>
        <w:t>is</w:t>
      </w:r>
      <w:r w:rsidRPr="00902872">
        <w:rPr>
          <w:rFonts w:ascii="Arial" w:hAnsi="Arial" w:cs="Arial"/>
          <w:sz w:val="22"/>
        </w:rPr>
        <w:t xml:space="preserve"> declared in default or </w:t>
      </w:r>
      <w:r>
        <w:rPr>
          <w:rFonts w:ascii="Arial" w:hAnsi="Arial" w:cs="Arial"/>
          <w:sz w:val="22"/>
        </w:rPr>
        <w:t>being</w:t>
      </w:r>
      <w:r w:rsidRPr="00902872">
        <w:rPr>
          <w:rFonts w:ascii="Arial" w:hAnsi="Arial" w:cs="Arial"/>
          <w:sz w:val="22"/>
        </w:rPr>
        <w:t xml:space="preserve"> suspended or expelled or resign</w:t>
      </w:r>
      <w:r>
        <w:rPr>
          <w:rFonts w:ascii="Arial" w:hAnsi="Arial" w:cs="Arial"/>
          <w:sz w:val="22"/>
        </w:rPr>
        <w:t>ing</w:t>
      </w:r>
      <w:r w:rsidRPr="00902872">
        <w:rPr>
          <w:rFonts w:ascii="Arial" w:hAnsi="Arial" w:cs="Arial"/>
          <w:sz w:val="22"/>
        </w:rPr>
        <w:t xml:space="preserve"> from membership of or participation in a Platform</w:t>
      </w:r>
      <w:r>
        <w:rPr>
          <w:rFonts w:ascii="Arial" w:hAnsi="Arial" w:cs="Arial"/>
          <w:sz w:val="22"/>
        </w:rPr>
        <w:t xml:space="preserve"> upon which a Platform Loan (1) of, in whole or in part, a Platform Transferred Security is in place and (2) that is not otherwise capable of being an Event of Default in accordance with sub-paragraph (a) above (such party, a "</w:t>
      </w:r>
      <w:r>
        <w:rPr>
          <w:rFonts w:ascii="Arial" w:hAnsi="Arial" w:cs="Arial"/>
          <w:b/>
          <w:bCs/>
          <w:sz w:val="22"/>
        </w:rPr>
        <w:t>Platform Breach Party</w:t>
      </w:r>
      <w:r>
        <w:rPr>
          <w:rFonts w:ascii="Arial" w:hAnsi="Arial" w:cs="Arial"/>
          <w:sz w:val="22"/>
        </w:rPr>
        <w:t>"), unless the Parties have jointly agreed to maintain the relevant Platform Loan and settle the relevant delivery obligations without Platform Transferred Securities, the other Party may by written notice to the Platform Breach Party elect that such Platform Loans be capable of termination under paragraph 8.1 or 8.2 of the Agreement (as applicable), notwithstanding any agreement to the contrary in paragraph 11 or the terms of the relevant Platform Loan (unless such agreement specifically overrides this Annex) and with the standard settlement time</w:t>
      </w:r>
      <w:r w:rsidRPr="00D2719F">
        <w:rPr>
          <w:rFonts w:ascii="Arial" w:hAnsi="Arial" w:cs="Arial"/>
          <w:sz w:val="22"/>
        </w:rPr>
        <w:t xml:space="preserve"> </w:t>
      </w:r>
      <w:r>
        <w:rPr>
          <w:rFonts w:ascii="Arial" w:hAnsi="Arial" w:cs="Arial"/>
          <w:sz w:val="22"/>
        </w:rPr>
        <w:t xml:space="preserve">required for </w:t>
      </w:r>
      <w:r>
        <w:rPr>
          <w:rFonts w:ascii="Arial" w:hAnsi="Arial" w:cs="Arial"/>
          <w:sz w:val="22"/>
        </w:rPr>
        <w:lastRenderedPageBreak/>
        <w:t>settlement of Equivalent Securities pursuant to paragraph 8.1 determined on the basis that no Equivalent Security is</w:t>
      </w:r>
      <w:r w:rsidRPr="00D2719F">
        <w:rPr>
          <w:rFonts w:ascii="Arial" w:hAnsi="Arial" w:cs="Arial"/>
          <w:sz w:val="22"/>
        </w:rPr>
        <w:t xml:space="preserve"> a Platform </w:t>
      </w:r>
      <w:r>
        <w:rPr>
          <w:rFonts w:ascii="Arial" w:hAnsi="Arial" w:cs="Arial"/>
          <w:sz w:val="22"/>
        </w:rPr>
        <w:t xml:space="preserve">Transferred </w:t>
      </w:r>
      <w:r w:rsidRPr="00D2719F">
        <w:rPr>
          <w:rFonts w:ascii="Arial" w:hAnsi="Arial" w:cs="Arial"/>
          <w:sz w:val="22"/>
        </w:rPr>
        <w:t>Securit</w:t>
      </w:r>
      <w:r>
        <w:rPr>
          <w:rFonts w:ascii="Arial" w:hAnsi="Arial" w:cs="Arial"/>
          <w:sz w:val="22"/>
        </w:rPr>
        <w:t>y.</w:t>
      </w:r>
    </w:p>
    <w:p w14:paraId="36FC650B" w14:textId="77777777" w:rsidR="00A47D16" w:rsidRDefault="00A47D16" w:rsidP="00A47D16">
      <w:pPr>
        <w:pStyle w:val="BodyText"/>
        <w:rPr>
          <w:rFonts w:ascii="Arial" w:hAnsi="Arial" w:cs="Arial"/>
          <w:b/>
          <w:bCs/>
          <w:sz w:val="22"/>
        </w:rPr>
      </w:pPr>
      <w:r>
        <w:rPr>
          <w:rFonts w:ascii="Arial" w:hAnsi="Arial" w:cs="Arial"/>
          <w:b/>
          <w:bCs/>
          <w:sz w:val="22"/>
        </w:rPr>
        <w:t>8.</w:t>
      </w:r>
      <w:r>
        <w:rPr>
          <w:rFonts w:ascii="Arial" w:hAnsi="Arial" w:cs="Arial"/>
          <w:b/>
          <w:bCs/>
          <w:sz w:val="22"/>
        </w:rPr>
        <w:tab/>
        <w:t>Platform Loans</w:t>
      </w:r>
    </w:p>
    <w:p w14:paraId="0BBD376F" w14:textId="77777777" w:rsidR="00A47D16" w:rsidRDefault="00A47D16" w:rsidP="00A47D16">
      <w:pPr>
        <w:pStyle w:val="BodyText"/>
        <w:rPr>
          <w:rFonts w:ascii="Arial" w:hAnsi="Arial" w:cs="Arial"/>
          <w:sz w:val="22"/>
        </w:rPr>
      </w:pPr>
      <w:r>
        <w:rPr>
          <w:rFonts w:ascii="Arial" w:hAnsi="Arial" w:cs="Arial"/>
          <w:sz w:val="22"/>
        </w:rPr>
        <w:t xml:space="preserve">To the extent that the Parties </w:t>
      </w:r>
      <w:proofErr w:type="gramStart"/>
      <w:r>
        <w:rPr>
          <w:rFonts w:ascii="Arial" w:hAnsi="Arial" w:cs="Arial"/>
          <w:sz w:val="22"/>
        </w:rPr>
        <w:t>enter into</w:t>
      </w:r>
      <w:proofErr w:type="gramEnd"/>
      <w:r>
        <w:rPr>
          <w:rFonts w:ascii="Arial" w:hAnsi="Arial" w:cs="Arial"/>
          <w:sz w:val="22"/>
        </w:rPr>
        <w:t xml:space="preserve"> a Platform Loan they agree that valid transfers on, settlement by or, as applicable, payment on the applicable Platform will satisfy all requirements under the Agreement in relation to the delivery or settlement of the applicable Asset-backed Digital Asset and/or Platform</w:t>
      </w:r>
      <w:r w:rsidRPr="004E3B71">
        <w:rPr>
          <w:rFonts w:ascii="Arial" w:hAnsi="Arial" w:cs="Arial"/>
          <w:sz w:val="22"/>
        </w:rPr>
        <w:t xml:space="preserve"> </w:t>
      </w:r>
      <w:r>
        <w:rPr>
          <w:rFonts w:ascii="Arial" w:hAnsi="Arial" w:cs="Arial"/>
          <w:sz w:val="22"/>
        </w:rPr>
        <w:t>Transferred Security.</w:t>
      </w:r>
    </w:p>
    <w:p w14:paraId="75044808" w14:textId="77777777" w:rsidR="00A47D16" w:rsidRPr="00A46BF3" w:rsidRDefault="00A47D16" w:rsidP="00A47D16">
      <w:pPr>
        <w:pStyle w:val="BodyText"/>
        <w:rPr>
          <w:rFonts w:ascii="Arial" w:hAnsi="Arial" w:cs="Arial"/>
          <w:b/>
          <w:bCs/>
          <w:sz w:val="22"/>
        </w:rPr>
      </w:pPr>
      <w:r w:rsidRPr="00A46BF3">
        <w:rPr>
          <w:rFonts w:ascii="Arial" w:hAnsi="Arial" w:cs="Arial"/>
          <w:b/>
          <w:bCs/>
          <w:sz w:val="22"/>
        </w:rPr>
        <w:t>[9.</w:t>
      </w:r>
      <w:r w:rsidRPr="00A46BF3">
        <w:rPr>
          <w:rFonts w:ascii="Arial" w:hAnsi="Arial" w:cs="Arial"/>
          <w:b/>
          <w:bCs/>
          <w:sz w:val="22"/>
        </w:rPr>
        <w:tab/>
        <w:t>Amendments to this Annex</w:t>
      </w:r>
    </w:p>
    <w:p w14:paraId="404C4947" w14:textId="77777777" w:rsidR="00A47D16" w:rsidRPr="0000144A" w:rsidRDefault="00A47D16" w:rsidP="00A47D16">
      <w:pPr>
        <w:pStyle w:val="BodyText"/>
        <w:rPr>
          <w:rFonts w:ascii="Arial" w:hAnsi="Arial" w:cs="Arial"/>
          <w:sz w:val="22"/>
        </w:rPr>
      </w:pPr>
      <w:r>
        <w:rPr>
          <w:rFonts w:ascii="Arial" w:hAnsi="Arial" w:cs="Arial"/>
          <w:sz w:val="22"/>
        </w:rPr>
        <w:t>[</w:t>
      </w:r>
      <w:r>
        <w:rPr>
          <w:rFonts w:ascii="Arial" w:hAnsi="Arial" w:cs="Arial"/>
          <w:i/>
          <w:iCs/>
          <w:sz w:val="22"/>
        </w:rPr>
        <w:t>Parties to include any amendments to the above provisions, for example, to limit the scope of Loans that can be entered into under this Annex to specific digital assets.</w:t>
      </w:r>
      <w:r>
        <w:rPr>
          <w:rFonts w:ascii="Arial" w:hAnsi="Arial" w:cs="Arial"/>
          <w:sz w:val="22"/>
        </w:rPr>
        <w:t>]]</w:t>
      </w:r>
    </w:p>
    <w:p w14:paraId="49A3F1B3" w14:textId="77777777" w:rsidR="00A47D16" w:rsidRDefault="00A47D16" w:rsidP="00A47D16">
      <w:pPr>
        <w:pStyle w:val="BodyText"/>
        <w:rPr>
          <w:rFonts w:ascii="Arial" w:hAnsi="Arial" w:cs="Arial"/>
          <w:sz w:val="22"/>
        </w:rPr>
      </w:pPr>
    </w:p>
    <w:p w14:paraId="317C2FC1" w14:textId="77777777" w:rsidR="00A47D16" w:rsidRDefault="00A47D16" w:rsidP="00A47D16">
      <w:pPr>
        <w:pStyle w:val="a"/>
        <w:rPr>
          <w:rFonts w:ascii="Arial" w:hAnsi="Arial" w:cs="Arial"/>
          <w:sz w:val="22"/>
        </w:rPr>
      </w:pPr>
    </w:p>
    <w:p w14:paraId="09D0C374" w14:textId="77777777" w:rsidR="00CB6344" w:rsidRPr="00A47D16" w:rsidRDefault="00CB6344" w:rsidP="00A47D16"/>
    <w:sectPr w:rsidR="00CB6344" w:rsidRPr="00A47D16">
      <w:footerReference w:type="default" r:id="rId11"/>
      <w:headerReference w:type="first" r:id="rId12"/>
      <w:footerReference w:type="first" r:id="rId13"/>
      <w:pgSz w:w="11900" w:h="16840"/>
      <w:pgMar w:top="1440" w:right="1800" w:bottom="1800" w:left="1800" w:header="720" w:footer="720" w:gutter="0"/>
      <w:paperSrc w:first="1" w:other="1"/>
      <w:cols w:space="720"/>
      <w:titlePg/>
    </w:sectPr>
  </w:body>
</w:document>
</file>

<file path=word/customizations.xml><?xml version="1.0" encoding="utf-8"?>
<wne:tcg xmlns:r="http://schemas.openxmlformats.org/officeDocument/2006/relationships" xmlns:wne="http://schemas.microsoft.com/office/word/2006/wordml">
  <wne:keymaps>
    <wne:keymap wne:kcmPrimary="0631">
      <wne:acd wne:acdName="acd0"/>
    </wne:keymap>
  </wne:keymaps>
  <wne:toolbars>
    <wne:acdManifest>
      <wne:acdEntry wne:acdName="acd0"/>
    </wne:acdManifest>
  </wne:toolbars>
  <wne:acds>
    <wne:acd wne:argValue="AQAAAC8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48E82F" w14:textId="77777777" w:rsidR="00420C41" w:rsidRDefault="00420C41" w:rsidP="00CB6344">
      <w:pPr>
        <w:spacing w:after="0"/>
      </w:pPr>
      <w:r>
        <w:separator/>
      </w:r>
    </w:p>
  </w:endnote>
  <w:endnote w:type="continuationSeparator" w:id="0">
    <w:p w14:paraId="7343FBA5" w14:textId="77777777" w:rsidR="00420C41" w:rsidRDefault="00420C41" w:rsidP="00CB634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embo">
    <w:charset w:val="00"/>
    <w:family w:val="roman"/>
    <w:pitch w:val="variable"/>
    <w:sig w:usb0="8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5CBED4" w14:textId="77777777" w:rsidR="00EA74E8" w:rsidRPr="00EA74E8" w:rsidRDefault="00EA74E8">
    <w:pPr>
      <w:pStyle w:val="Footer"/>
      <w:jc w:val="center"/>
      <w:rPr>
        <w:rFonts w:ascii="Arial" w:hAnsi="Arial" w:cs="Arial"/>
        <w:sz w:val="22"/>
        <w:szCs w:val="36"/>
      </w:rPr>
    </w:pPr>
    <w:r w:rsidRPr="00EA74E8">
      <w:rPr>
        <w:rFonts w:ascii="Arial" w:hAnsi="Arial" w:cs="Arial"/>
        <w:sz w:val="22"/>
        <w:szCs w:val="36"/>
      </w:rPr>
      <w:fldChar w:fldCharType="begin"/>
    </w:r>
    <w:r w:rsidRPr="00EA74E8">
      <w:rPr>
        <w:rFonts w:ascii="Arial" w:hAnsi="Arial" w:cs="Arial"/>
        <w:sz w:val="22"/>
        <w:szCs w:val="36"/>
      </w:rPr>
      <w:instrText xml:space="preserve"> PAGE   \* MERGEFORMAT </w:instrText>
    </w:r>
    <w:r w:rsidRPr="00EA74E8">
      <w:rPr>
        <w:rFonts w:ascii="Arial" w:hAnsi="Arial" w:cs="Arial"/>
        <w:sz w:val="22"/>
        <w:szCs w:val="36"/>
      </w:rPr>
      <w:fldChar w:fldCharType="separate"/>
    </w:r>
    <w:r w:rsidRPr="00EA74E8">
      <w:rPr>
        <w:rFonts w:ascii="Arial" w:hAnsi="Arial" w:cs="Arial"/>
        <w:noProof/>
        <w:sz w:val="22"/>
        <w:szCs w:val="36"/>
      </w:rPr>
      <w:t>2</w:t>
    </w:r>
    <w:r w:rsidRPr="00EA74E8">
      <w:rPr>
        <w:rFonts w:ascii="Arial" w:hAnsi="Arial" w:cs="Arial"/>
        <w:noProof/>
        <w:sz w:val="22"/>
        <w:szCs w:val="36"/>
      </w:rPr>
      <w:fldChar w:fldCharType="end"/>
    </w:r>
  </w:p>
  <w:p w14:paraId="0C118CF5" w14:textId="77777777" w:rsidR="00E3717E" w:rsidRDefault="00E3717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83A3C8" w14:textId="77777777" w:rsidR="00EA74E8" w:rsidRPr="00EA74E8" w:rsidRDefault="00EA74E8">
    <w:pPr>
      <w:pStyle w:val="Footer"/>
      <w:jc w:val="center"/>
      <w:rPr>
        <w:rFonts w:ascii="Arial" w:hAnsi="Arial" w:cs="Arial"/>
        <w:sz w:val="24"/>
        <w:szCs w:val="40"/>
      </w:rPr>
    </w:pPr>
    <w:r w:rsidRPr="00EA74E8">
      <w:rPr>
        <w:rFonts w:ascii="Arial" w:hAnsi="Arial" w:cs="Arial"/>
        <w:sz w:val="24"/>
        <w:szCs w:val="40"/>
      </w:rPr>
      <w:fldChar w:fldCharType="begin"/>
    </w:r>
    <w:r w:rsidRPr="00EA74E8">
      <w:rPr>
        <w:rFonts w:ascii="Arial" w:hAnsi="Arial" w:cs="Arial"/>
        <w:sz w:val="24"/>
        <w:szCs w:val="40"/>
      </w:rPr>
      <w:instrText xml:space="preserve"> PAGE   \* MERGEFORMAT </w:instrText>
    </w:r>
    <w:r w:rsidRPr="00EA74E8">
      <w:rPr>
        <w:rFonts w:ascii="Arial" w:hAnsi="Arial" w:cs="Arial"/>
        <w:sz w:val="24"/>
        <w:szCs w:val="40"/>
      </w:rPr>
      <w:fldChar w:fldCharType="separate"/>
    </w:r>
    <w:r w:rsidRPr="00EA74E8">
      <w:rPr>
        <w:rFonts w:ascii="Arial" w:hAnsi="Arial" w:cs="Arial"/>
        <w:noProof/>
        <w:sz w:val="24"/>
        <w:szCs w:val="40"/>
      </w:rPr>
      <w:t>2</w:t>
    </w:r>
    <w:r w:rsidRPr="00EA74E8">
      <w:rPr>
        <w:rFonts w:ascii="Arial" w:hAnsi="Arial" w:cs="Arial"/>
        <w:noProof/>
        <w:sz w:val="24"/>
        <w:szCs w:val="40"/>
      </w:rPr>
      <w:fldChar w:fldCharType="end"/>
    </w:r>
  </w:p>
  <w:p w14:paraId="6F2F0898" w14:textId="77777777" w:rsidR="00D17B0F" w:rsidRDefault="00D17B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2C15A64" w14:textId="77777777" w:rsidR="00420C41" w:rsidRDefault="00420C41">
      <w:pPr>
        <w:pBdr>
          <w:top w:val="single" w:sz="6" w:space="0" w:color="auto"/>
        </w:pBdr>
      </w:pPr>
      <w:r>
        <w:t xml:space="preserve"> </w:t>
      </w:r>
    </w:p>
  </w:footnote>
  <w:footnote w:type="continuationSeparator" w:id="0">
    <w:p w14:paraId="04F94E03" w14:textId="77777777" w:rsidR="00420C41" w:rsidRDefault="00420C41" w:rsidP="00CB634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0BB8B4" w14:textId="7488EBB9" w:rsidR="00AE5A1E" w:rsidRPr="00CD0C30" w:rsidRDefault="00FE1754" w:rsidP="00EA74E8">
    <w:pPr>
      <w:pStyle w:val="Header"/>
      <w:jc w:val="right"/>
      <w:rPr>
        <w:rFonts w:ascii="Times New Roman" w:hAnsi="Times New Roman"/>
        <w:sz w:val="22"/>
        <w:szCs w:val="22"/>
      </w:rPr>
    </w:pPr>
    <w:r>
      <w:rPr>
        <w:noProof/>
      </w:rPr>
      <w:drawing>
        <wp:anchor distT="0" distB="0" distL="114300" distR="114300" simplePos="0" relativeHeight="251657728" behindDoc="0" locked="0" layoutInCell="1" allowOverlap="1" wp14:anchorId="61A2A076" wp14:editId="7732D7AC">
          <wp:simplePos x="0" y="0"/>
          <wp:positionH relativeFrom="column">
            <wp:posOffset>0</wp:posOffset>
          </wp:positionH>
          <wp:positionV relativeFrom="paragraph">
            <wp:posOffset>-152400</wp:posOffset>
          </wp:positionV>
          <wp:extent cx="1228725" cy="409575"/>
          <wp:effectExtent l="0" t="0" r="0" b="0"/>
          <wp:wrapSquare wrapText="bothSides"/>
          <wp:docPr id="1" name="Picture 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text, clipar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28725" cy="409575"/>
                  </a:xfrm>
                  <a:prstGeom prst="rect">
                    <a:avLst/>
                  </a:prstGeom>
                  <a:noFill/>
                  <a:ln>
                    <a:noFill/>
                  </a:ln>
                </pic:spPr>
              </pic:pic>
            </a:graphicData>
          </a:graphic>
          <wp14:sizeRelH relativeFrom="page">
            <wp14:pctWidth>0</wp14:pctWidth>
          </wp14:sizeRelH>
          <wp14:sizeRelV relativeFrom="page">
            <wp14:pctHeight>0</wp14:pctHeight>
          </wp14:sizeRelV>
        </wp:anchor>
      </w:drawing>
    </w:r>
    <w:r w:rsidR="00D17B0F">
      <w:rPr>
        <w:rFonts w:ascii="Times New Roman" w:hAnsi="Times New Roman"/>
        <w:sz w:val="22"/>
        <w:szCs w:val="22"/>
      </w:rPr>
      <w:t>Final Version</w:t>
    </w:r>
    <w:r w:rsidR="00CD0C30" w:rsidRPr="00CD0C30">
      <w:rPr>
        <w:rFonts w:ascii="Times New Roman" w:hAnsi="Times New Roman"/>
        <w:sz w:val="22"/>
        <w:szCs w:val="22"/>
      </w:rPr>
      <w:t xml:space="preserve">: </w:t>
    </w:r>
    <w:r w:rsidR="00C61F90">
      <w:rPr>
        <w:rFonts w:ascii="Times New Roman" w:hAnsi="Times New Roman"/>
        <w:sz w:val="22"/>
        <w:szCs w:val="22"/>
      </w:rPr>
      <w:t>1</w:t>
    </w:r>
    <w:r w:rsidR="00D17B0F">
      <w:rPr>
        <w:rFonts w:ascii="Times New Roman" w:hAnsi="Times New Roman"/>
        <w:sz w:val="22"/>
        <w:szCs w:val="22"/>
      </w:rPr>
      <w:t>5 August</w:t>
    </w:r>
    <w:r w:rsidR="00D00018">
      <w:rPr>
        <w:rFonts w:ascii="Times New Roman" w:hAnsi="Times New Roman"/>
        <w:sz w:val="22"/>
        <w:szCs w:val="22"/>
      </w:rPr>
      <w:t xml:space="preserve"> </w:t>
    </w:r>
    <w:r w:rsidR="00325F41">
      <w:rPr>
        <w:rFonts w:ascii="Times New Roman" w:hAnsi="Times New Roman"/>
        <w:sz w:val="22"/>
        <w:szCs w:val="22"/>
      </w:rPr>
      <w:t>2024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79AE675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C169E9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DEE8EAF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819E002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CA98C0B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EB09C5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54AD04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8A43B6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ADEDD68"/>
    <w:lvl w:ilvl="0">
      <w:start w:val="1"/>
      <w:numFmt w:val="decimal"/>
      <w:pStyle w:val="ListBullet5"/>
      <w:lvlText w:val="%1."/>
      <w:lvlJc w:val="left"/>
      <w:pPr>
        <w:tabs>
          <w:tab w:val="num" w:pos="360"/>
        </w:tabs>
        <w:ind w:left="360" w:hanging="360"/>
      </w:pPr>
    </w:lvl>
  </w:abstractNum>
  <w:abstractNum w:abstractNumId="9" w15:restartNumberingAfterBreak="0">
    <w:nsid w:val="FFFFFF89"/>
    <w:multiLevelType w:val="singleLevel"/>
    <w:tmpl w:val="0800656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A57300"/>
    <w:multiLevelType w:val="singleLevel"/>
    <w:tmpl w:val="CC66FF10"/>
    <w:lvl w:ilvl="0">
      <w:start w:val="1"/>
      <w:numFmt w:val="none"/>
      <w:lvlText w:val=""/>
      <w:legacy w:legacy="1" w:legacySpace="0" w:legacyIndent="0"/>
      <w:lvlJc w:val="left"/>
    </w:lvl>
  </w:abstractNum>
  <w:abstractNum w:abstractNumId="11" w15:restartNumberingAfterBreak="0">
    <w:nsid w:val="05C57512"/>
    <w:multiLevelType w:val="singleLevel"/>
    <w:tmpl w:val="CC66FF10"/>
    <w:lvl w:ilvl="0">
      <w:start w:val="1"/>
      <w:numFmt w:val="none"/>
      <w:lvlText w:val=""/>
      <w:legacy w:legacy="1" w:legacySpace="0" w:legacyIndent="0"/>
      <w:lvlJc w:val="left"/>
    </w:lvl>
  </w:abstractNum>
  <w:abstractNum w:abstractNumId="12" w15:restartNumberingAfterBreak="0">
    <w:nsid w:val="09664CCD"/>
    <w:multiLevelType w:val="singleLevel"/>
    <w:tmpl w:val="CC66FF10"/>
    <w:lvl w:ilvl="0">
      <w:start w:val="1"/>
      <w:numFmt w:val="none"/>
      <w:lvlText w:val=""/>
      <w:legacy w:legacy="1" w:legacySpace="0" w:legacyIndent="0"/>
      <w:lvlJc w:val="left"/>
    </w:lvl>
  </w:abstractNum>
  <w:abstractNum w:abstractNumId="13" w15:restartNumberingAfterBreak="0">
    <w:nsid w:val="0BF9113E"/>
    <w:multiLevelType w:val="singleLevel"/>
    <w:tmpl w:val="CC66FF10"/>
    <w:lvl w:ilvl="0">
      <w:start w:val="1"/>
      <w:numFmt w:val="none"/>
      <w:lvlText w:val=""/>
      <w:legacy w:legacy="1" w:legacySpace="0" w:legacyIndent="0"/>
      <w:lvlJc w:val="left"/>
    </w:lvl>
  </w:abstractNum>
  <w:abstractNum w:abstractNumId="14" w15:restartNumberingAfterBreak="0">
    <w:nsid w:val="0C1E012E"/>
    <w:multiLevelType w:val="hybridMultilevel"/>
    <w:tmpl w:val="E6145320"/>
    <w:lvl w:ilvl="0" w:tplc="FFFFFFFF">
      <w:start w:val="1"/>
      <w:numFmt w:val="decimal"/>
      <w:lvlText w:val="%1."/>
      <w:lvlJc w:val="left"/>
      <w:pPr>
        <w:tabs>
          <w:tab w:val="num" w:pos="360"/>
        </w:tabs>
        <w:ind w:left="0" w:firstLine="0"/>
      </w:pPr>
      <w:rPr>
        <w:rFonts w:ascii="Bembo" w:hAnsi="Bembo" w:hint="default"/>
        <w:sz w:val="26"/>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15:restartNumberingAfterBreak="0">
    <w:nsid w:val="11040C21"/>
    <w:multiLevelType w:val="singleLevel"/>
    <w:tmpl w:val="CC66FF10"/>
    <w:lvl w:ilvl="0">
      <w:start w:val="1"/>
      <w:numFmt w:val="none"/>
      <w:lvlText w:val=""/>
      <w:legacy w:legacy="1" w:legacySpace="0" w:legacyIndent="0"/>
      <w:lvlJc w:val="left"/>
    </w:lvl>
  </w:abstractNum>
  <w:abstractNum w:abstractNumId="16" w15:restartNumberingAfterBreak="0">
    <w:nsid w:val="11B320BB"/>
    <w:multiLevelType w:val="hybridMultilevel"/>
    <w:tmpl w:val="AE7E985C"/>
    <w:lvl w:ilvl="0" w:tplc="FFFFFFFF">
      <w:start w:val="1"/>
      <w:numFmt w:val="decimal"/>
      <w:lvlText w:val="%1."/>
      <w:lvlJc w:val="left"/>
      <w:pPr>
        <w:tabs>
          <w:tab w:val="num" w:pos="720"/>
        </w:tabs>
        <w:ind w:left="720" w:hanging="72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7" w15:restartNumberingAfterBreak="0">
    <w:nsid w:val="126844B4"/>
    <w:multiLevelType w:val="hybridMultilevel"/>
    <w:tmpl w:val="C13CBEFA"/>
    <w:name w:val="List"/>
    <w:lvl w:ilvl="0" w:tplc="FFFFFFFF">
      <w:start w:val="1"/>
      <w:numFmt w:val="decimal"/>
      <w:pStyle w:val="List"/>
      <w:lvlText w:val="%1."/>
      <w:lvlJc w:val="left"/>
      <w:pPr>
        <w:tabs>
          <w:tab w:val="num" w:pos="360"/>
        </w:tabs>
        <w:ind w:left="36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8" w15:restartNumberingAfterBreak="0">
    <w:nsid w:val="1B653B43"/>
    <w:multiLevelType w:val="singleLevel"/>
    <w:tmpl w:val="1F0A1CE0"/>
    <w:lvl w:ilvl="0">
      <w:start w:val="1"/>
      <w:numFmt w:val="decimal"/>
      <w:lvlText w:val="%1."/>
      <w:lvlJc w:val="left"/>
      <w:pPr>
        <w:tabs>
          <w:tab w:val="num" w:pos="360"/>
        </w:tabs>
        <w:ind w:left="360" w:hanging="360"/>
      </w:pPr>
      <w:rPr>
        <w:rFonts w:ascii="Bembo" w:hAnsi="Bembo" w:hint="default"/>
        <w:b w:val="0"/>
        <w:i w:val="0"/>
        <w:sz w:val="26"/>
      </w:rPr>
    </w:lvl>
  </w:abstractNum>
  <w:abstractNum w:abstractNumId="19" w15:restartNumberingAfterBreak="0">
    <w:nsid w:val="1C6B7AF7"/>
    <w:multiLevelType w:val="singleLevel"/>
    <w:tmpl w:val="CC66FF10"/>
    <w:lvl w:ilvl="0">
      <w:start w:val="1"/>
      <w:numFmt w:val="none"/>
      <w:lvlText w:val=""/>
      <w:legacy w:legacy="1" w:legacySpace="0" w:legacyIndent="0"/>
      <w:lvlJc w:val="left"/>
    </w:lvl>
  </w:abstractNum>
  <w:abstractNum w:abstractNumId="20" w15:restartNumberingAfterBreak="0">
    <w:nsid w:val="1F890411"/>
    <w:multiLevelType w:val="singleLevel"/>
    <w:tmpl w:val="CC66FF10"/>
    <w:lvl w:ilvl="0">
      <w:start w:val="1"/>
      <w:numFmt w:val="none"/>
      <w:lvlText w:val=""/>
      <w:legacy w:legacy="1" w:legacySpace="0" w:legacyIndent="0"/>
      <w:lvlJc w:val="left"/>
    </w:lvl>
  </w:abstractNum>
  <w:abstractNum w:abstractNumId="21" w15:restartNumberingAfterBreak="0">
    <w:nsid w:val="222068D7"/>
    <w:multiLevelType w:val="singleLevel"/>
    <w:tmpl w:val="CC66FF10"/>
    <w:lvl w:ilvl="0">
      <w:start w:val="1"/>
      <w:numFmt w:val="none"/>
      <w:lvlText w:val=""/>
      <w:legacy w:legacy="1" w:legacySpace="0" w:legacyIndent="0"/>
      <w:lvlJc w:val="left"/>
    </w:lvl>
  </w:abstractNum>
  <w:abstractNum w:abstractNumId="22" w15:restartNumberingAfterBreak="0">
    <w:nsid w:val="22CB6EBC"/>
    <w:multiLevelType w:val="singleLevel"/>
    <w:tmpl w:val="CC66FF10"/>
    <w:lvl w:ilvl="0">
      <w:start w:val="1"/>
      <w:numFmt w:val="none"/>
      <w:lvlText w:val=""/>
      <w:legacy w:legacy="1" w:legacySpace="0" w:legacyIndent="0"/>
      <w:lvlJc w:val="left"/>
    </w:lvl>
  </w:abstractNum>
  <w:abstractNum w:abstractNumId="23" w15:restartNumberingAfterBreak="0">
    <w:nsid w:val="2D891AE6"/>
    <w:multiLevelType w:val="singleLevel"/>
    <w:tmpl w:val="CC66FF10"/>
    <w:lvl w:ilvl="0">
      <w:start w:val="1"/>
      <w:numFmt w:val="none"/>
      <w:lvlText w:val=""/>
      <w:legacy w:legacy="1" w:legacySpace="0" w:legacyIndent="0"/>
      <w:lvlJc w:val="left"/>
    </w:lvl>
  </w:abstractNum>
  <w:abstractNum w:abstractNumId="24" w15:restartNumberingAfterBreak="0">
    <w:nsid w:val="2F9E72EF"/>
    <w:multiLevelType w:val="hybridMultilevel"/>
    <w:tmpl w:val="21064C5C"/>
    <w:lvl w:ilvl="0" w:tplc="FFFFFFFF">
      <w:start w:val="1"/>
      <w:numFmt w:val="lowerRoman"/>
      <w:pStyle w:val="ListBullet4"/>
      <w:lvlText w:val="(%1)"/>
      <w:lvlJc w:val="right"/>
      <w:pPr>
        <w:tabs>
          <w:tab w:val="num" w:pos="1440"/>
        </w:tabs>
        <w:ind w:left="144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5" w15:restartNumberingAfterBreak="0">
    <w:nsid w:val="33B73C92"/>
    <w:multiLevelType w:val="singleLevel"/>
    <w:tmpl w:val="CC66FF10"/>
    <w:lvl w:ilvl="0">
      <w:start w:val="1"/>
      <w:numFmt w:val="none"/>
      <w:lvlText w:val=""/>
      <w:legacy w:legacy="1" w:legacySpace="0" w:legacyIndent="0"/>
      <w:lvlJc w:val="left"/>
    </w:lvl>
  </w:abstractNum>
  <w:abstractNum w:abstractNumId="26" w15:restartNumberingAfterBreak="0">
    <w:nsid w:val="342C329F"/>
    <w:multiLevelType w:val="singleLevel"/>
    <w:tmpl w:val="CC66FF10"/>
    <w:lvl w:ilvl="0">
      <w:start w:val="1"/>
      <w:numFmt w:val="none"/>
      <w:lvlText w:val=""/>
      <w:legacy w:legacy="1" w:legacySpace="0" w:legacyIndent="0"/>
      <w:lvlJc w:val="left"/>
    </w:lvl>
  </w:abstractNum>
  <w:abstractNum w:abstractNumId="27" w15:restartNumberingAfterBreak="0">
    <w:nsid w:val="3D022F37"/>
    <w:multiLevelType w:val="hybridMultilevel"/>
    <w:tmpl w:val="3288F13C"/>
    <w:lvl w:ilvl="0" w:tplc="FFFFFFFF">
      <w:start w:val="1"/>
      <w:numFmt w:val="decimal"/>
      <w:lvlText w:val="%1."/>
      <w:lvlJc w:val="left"/>
      <w:pPr>
        <w:tabs>
          <w:tab w:val="num" w:pos="720"/>
        </w:tabs>
        <w:ind w:left="720" w:hanging="720"/>
      </w:pPr>
      <w:rPr>
        <w:rFonts w:ascii="Bembo" w:hAnsi="Bembo" w:hint="default"/>
        <w:sz w:val="26"/>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8" w15:restartNumberingAfterBreak="0">
    <w:nsid w:val="3FC8184A"/>
    <w:multiLevelType w:val="singleLevel"/>
    <w:tmpl w:val="CC66FF10"/>
    <w:lvl w:ilvl="0">
      <w:start w:val="1"/>
      <w:numFmt w:val="none"/>
      <w:lvlText w:val=""/>
      <w:legacy w:legacy="1" w:legacySpace="0" w:legacyIndent="0"/>
      <w:lvlJc w:val="left"/>
    </w:lvl>
  </w:abstractNum>
  <w:abstractNum w:abstractNumId="29" w15:restartNumberingAfterBreak="0">
    <w:nsid w:val="4870264B"/>
    <w:multiLevelType w:val="singleLevel"/>
    <w:tmpl w:val="CC66FF10"/>
    <w:lvl w:ilvl="0">
      <w:start w:val="1"/>
      <w:numFmt w:val="none"/>
      <w:lvlText w:val=""/>
      <w:legacy w:legacy="1" w:legacySpace="0" w:legacyIndent="0"/>
      <w:lvlJc w:val="left"/>
    </w:lvl>
  </w:abstractNum>
  <w:abstractNum w:abstractNumId="30" w15:restartNumberingAfterBreak="0">
    <w:nsid w:val="4894197F"/>
    <w:multiLevelType w:val="hybridMultilevel"/>
    <w:tmpl w:val="36B4DFF0"/>
    <w:lvl w:ilvl="0" w:tplc="FFFFFFFF">
      <w:start w:val="1"/>
      <w:numFmt w:val="lowerRoman"/>
      <w:pStyle w:val="List3"/>
      <w:lvlText w:val="(%1)"/>
      <w:lvlJc w:val="right"/>
      <w:pPr>
        <w:tabs>
          <w:tab w:val="num" w:pos="1710"/>
        </w:tabs>
        <w:ind w:left="1710" w:hanging="360"/>
      </w:pPr>
      <w:rPr>
        <w:rFonts w:hint="default"/>
      </w:rPr>
    </w:lvl>
    <w:lvl w:ilvl="1" w:tplc="FFFFFFFF">
      <w:start w:val="1"/>
      <w:numFmt w:val="lowerRoman"/>
      <w:lvlText w:val="(%2)"/>
      <w:lvlJc w:val="right"/>
      <w:pPr>
        <w:tabs>
          <w:tab w:val="num" w:pos="1440"/>
        </w:tabs>
        <w:ind w:left="1440" w:hanging="36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1" w15:restartNumberingAfterBreak="0">
    <w:nsid w:val="48E83DCF"/>
    <w:multiLevelType w:val="singleLevel"/>
    <w:tmpl w:val="CC66FF10"/>
    <w:lvl w:ilvl="0">
      <w:start w:val="1"/>
      <w:numFmt w:val="none"/>
      <w:lvlText w:val=""/>
      <w:legacy w:legacy="1" w:legacySpace="0" w:legacyIndent="0"/>
      <w:lvlJc w:val="left"/>
    </w:lvl>
  </w:abstractNum>
  <w:abstractNum w:abstractNumId="32" w15:restartNumberingAfterBreak="0">
    <w:nsid w:val="48EE050C"/>
    <w:multiLevelType w:val="hybridMultilevel"/>
    <w:tmpl w:val="AD646200"/>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4A58527C"/>
    <w:multiLevelType w:val="hybridMultilevel"/>
    <w:tmpl w:val="49FEFE22"/>
    <w:name w:val="List 2"/>
    <w:lvl w:ilvl="0" w:tplc="FFFFFFFF">
      <w:start w:val="1"/>
      <w:numFmt w:val="lowerLetter"/>
      <w:pStyle w:val="List2"/>
      <w:lvlText w:val="(%1)"/>
      <w:lvlJc w:val="left"/>
      <w:pPr>
        <w:tabs>
          <w:tab w:val="num" w:pos="720"/>
        </w:tabs>
        <w:ind w:left="720" w:hanging="720"/>
      </w:pPr>
      <w:rPr>
        <w:rFonts w:ascii="Bembo" w:hAnsi="Bembo" w:hint="default"/>
        <w:b w:val="0"/>
        <w:i w:val="0"/>
        <w:sz w:val="26"/>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4" w15:restartNumberingAfterBreak="0">
    <w:nsid w:val="4B512350"/>
    <w:multiLevelType w:val="singleLevel"/>
    <w:tmpl w:val="CC66FF10"/>
    <w:lvl w:ilvl="0">
      <w:start w:val="1"/>
      <w:numFmt w:val="none"/>
      <w:lvlText w:val=""/>
      <w:legacy w:legacy="1" w:legacySpace="0" w:legacyIndent="0"/>
      <w:lvlJc w:val="left"/>
    </w:lvl>
  </w:abstractNum>
  <w:abstractNum w:abstractNumId="35" w15:restartNumberingAfterBreak="0">
    <w:nsid w:val="4C663C8A"/>
    <w:multiLevelType w:val="hybridMultilevel"/>
    <w:tmpl w:val="8672664A"/>
    <w:lvl w:ilvl="0" w:tplc="FFFFFFFF">
      <w:start w:val="1"/>
      <w:numFmt w:val="lowerLetter"/>
      <w:lvlText w:val="(%1)"/>
      <w:lvlJc w:val="left"/>
      <w:pPr>
        <w:tabs>
          <w:tab w:val="num" w:pos="360"/>
        </w:tabs>
        <w:ind w:left="360" w:hanging="360"/>
      </w:pPr>
      <w:rPr>
        <w:rFonts w:ascii="Bembo" w:hAnsi="Bembo" w:hint="default"/>
        <w:sz w:val="26"/>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6" w15:restartNumberingAfterBreak="0">
    <w:nsid w:val="531756EA"/>
    <w:multiLevelType w:val="hybridMultilevel"/>
    <w:tmpl w:val="B5C03B22"/>
    <w:lvl w:ilvl="0" w:tplc="FFFFFFFF">
      <w:start w:val="1"/>
      <w:numFmt w:val="lowerRoman"/>
      <w:lvlText w:val="(%1)"/>
      <w:lvlJc w:val="left"/>
      <w:pPr>
        <w:tabs>
          <w:tab w:val="num" w:pos="1785"/>
        </w:tabs>
        <w:ind w:left="1785" w:hanging="720"/>
      </w:pPr>
      <w:rPr>
        <w:rFonts w:hint="default"/>
      </w:rPr>
    </w:lvl>
    <w:lvl w:ilvl="1" w:tplc="FFFFFFFF">
      <w:start w:val="1"/>
      <w:numFmt w:val="lowerRoman"/>
      <w:lvlText w:val="(%2)"/>
      <w:lvlJc w:val="right"/>
      <w:pPr>
        <w:tabs>
          <w:tab w:val="num" w:pos="2145"/>
        </w:tabs>
        <w:ind w:left="2145" w:hanging="360"/>
      </w:pPr>
      <w:rPr>
        <w:rFonts w:hint="default"/>
      </w:rPr>
    </w:lvl>
    <w:lvl w:ilvl="2" w:tplc="FFFFFFFF" w:tentative="1">
      <w:start w:val="1"/>
      <w:numFmt w:val="lowerRoman"/>
      <w:lvlText w:val="%3."/>
      <w:lvlJc w:val="right"/>
      <w:pPr>
        <w:tabs>
          <w:tab w:val="num" w:pos="2865"/>
        </w:tabs>
        <w:ind w:left="2865" w:hanging="180"/>
      </w:pPr>
    </w:lvl>
    <w:lvl w:ilvl="3" w:tplc="FFFFFFFF" w:tentative="1">
      <w:start w:val="1"/>
      <w:numFmt w:val="decimal"/>
      <w:lvlText w:val="%4."/>
      <w:lvlJc w:val="left"/>
      <w:pPr>
        <w:tabs>
          <w:tab w:val="num" w:pos="3585"/>
        </w:tabs>
        <w:ind w:left="3585" w:hanging="360"/>
      </w:pPr>
    </w:lvl>
    <w:lvl w:ilvl="4" w:tplc="FFFFFFFF" w:tentative="1">
      <w:start w:val="1"/>
      <w:numFmt w:val="lowerLetter"/>
      <w:lvlText w:val="%5."/>
      <w:lvlJc w:val="left"/>
      <w:pPr>
        <w:tabs>
          <w:tab w:val="num" w:pos="4305"/>
        </w:tabs>
        <w:ind w:left="4305" w:hanging="360"/>
      </w:pPr>
    </w:lvl>
    <w:lvl w:ilvl="5" w:tplc="FFFFFFFF" w:tentative="1">
      <w:start w:val="1"/>
      <w:numFmt w:val="lowerRoman"/>
      <w:lvlText w:val="%6."/>
      <w:lvlJc w:val="right"/>
      <w:pPr>
        <w:tabs>
          <w:tab w:val="num" w:pos="5025"/>
        </w:tabs>
        <w:ind w:left="5025" w:hanging="180"/>
      </w:pPr>
    </w:lvl>
    <w:lvl w:ilvl="6" w:tplc="FFFFFFFF" w:tentative="1">
      <w:start w:val="1"/>
      <w:numFmt w:val="decimal"/>
      <w:lvlText w:val="%7."/>
      <w:lvlJc w:val="left"/>
      <w:pPr>
        <w:tabs>
          <w:tab w:val="num" w:pos="5745"/>
        </w:tabs>
        <w:ind w:left="5745" w:hanging="360"/>
      </w:pPr>
    </w:lvl>
    <w:lvl w:ilvl="7" w:tplc="FFFFFFFF" w:tentative="1">
      <w:start w:val="1"/>
      <w:numFmt w:val="lowerLetter"/>
      <w:lvlText w:val="%8."/>
      <w:lvlJc w:val="left"/>
      <w:pPr>
        <w:tabs>
          <w:tab w:val="num" w:pos="6465"/>
        </w:tabs>
        <w:ind w:left="6465" w:hanging="360"/>
      </w:pPr>
    </w:lvl>
    <w:lvl w:ilvl="8" w:tplc="FFFFFFFF" w:tentative="1">
      <w:start w:val="1"/>
      <w:numFmt w:val="lowerRoman"/>
      <w:lvlText w:val="%9."/>
      <w:lvlJc w:val="right"/>
      <w:pPr>
        <w:tabs>
          <w:tab w:val="num" w:pos="7185"/>
        </w:tabs>
        <w:ind w:left="7185" w:hanging="180"/>
      </w:pPr>
    </w:lvl>
  </w:abstractNum>
  <w:abstractNum w:abstractNumId="37" w15:restartNumberingAfterBreak="0">
    <w:nsid w:val="582C6AF7"/>
    <w:multiLevelType w:val="hybridMultilevel"/>
    <w:tmpl w:val="95487E7A"/>
    <w:lvl w:ilvl="0" w:tplc="FFFFFFFF">
      <w:start w:val="1"/>
      <w:numFmt w:val="decimal"/>
      <w:lvlText w:val="%1."/>
      <w:lvlJc w:val="left"/>
      <w:pPr>
        <w:tabs>
          <w:tab w:val="num" w:pos="720"/>
        </w:tabs>
        <w:ind w:left="720" w:hanging="72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8" w15:restartNumberingAfterBreak="0">
    <w:nsid w:val="58F444CC"/>
    <w:multiLevelType w:val="singleLevel"/>
    <w:tmpl w:val="CC66FF10"/>
    <w:lvl w:ilvl="0">
      <w:start w:val="1"/>
      <w:numFmt w:val="none"/>
      <w:lvlText w:val=""/>
      <w:legacy w:legacy="1" w:legacySpace="0" w:legacyIndent="0"/>
      <w:lvlJc w:val="left"/>
    </w:lvl>
  </w:abstractNum>
  <w:abstractNum w:abstractNumId="39" w15:restartNumberingAfterBreak="0">
    <w:nsid w:val="65F47D3C"/>
    <w:multiLevelType w:val="hybridMultilevel"/>
    <w:tmpl w:val="5F689484"/>
    <w:name w:val="List 4"/>
    <w:lvl w:ilvl="0" w:tplc="FFFFFFFF">
      <w:start w:val="1"/>
      <w:numFmt w:val="upperLetter"/>
      <w:pStyle w:val="List4"/>
      <w:lvlText w:val="(%1)"/>
      <w:lvlJc w:val="left"/>
      <w:pPr>
        <w:tabs>
          <w:tab w:val="num" w:pos="1872"/>
        </w:tabs>
        <w:ind w:left="1872" w:hanging="432"/>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0" w15:restartNumberingAfterBreak="0">
    <w:nsid w:val="68F544E7"/>
    <w:multiLevelType w:val="singleLevel"/>
    <w:tmpl w:val="CC66FF10"/>
    <w:lvl w:ilvl="0">
      <w:start w:val="1"/>
      <w:numFmt w:val="none"/>
      <w:lvlText w:val=""/>
      <w:legacy w:legacy="1" w:legacySpace="0" w:legacyIndent="0"/>
      <w:lvlJc w:val="left"/>
    </w:lvl>
  </w:abstractNum>
  <w:abstractNum w:abstractNumId="41" w15:restartNumberingAfterBreak="0">
    <w:nsid w:val="699F472A"/>
    <w:multiLevelType w:val="singleLevel"/>
    <w:tmpl w:val="CC66FF10"/>
    <w:lvl w:ilvl="0">
      <w:start w:val="1"/>
      <w:numFmt w:val="none"/>
      <w:lvlText w:val=""/>
      <w:legacy w:legacy="1" w:legacySpace="0" w:legacyIndent="0"/>
      <w:lvlJc w:val="left"/>
    </w:lvl>
  </w:abstractNum>
  <w:abstractNum w:abstractNumId="42" w15:restartNumberingAfterBreak="0">
    <w:nsid w:val="6B33571F"/>
    <w:multiLevelType w:val="hybridMultilevel"/>
    <w:tmpl w:val="28A0F304"/>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1F752DE"/>
    <w:multiLevelType w:val="singleLevel"/>
    <w:tmpl w:val="CC66FF10"/>
    <w:lvl w:ilvl="0">
      <w:start w:val="1"/>
      <w:numFmt w:val="none"/>
      <w:lvlText w:val=""/>
      <w:legacy w:legacy="1" w:legacySpace="0" w:legacyIndent="0"/>
      <w:lvlJc w:val="left"/>
    </w:lvl>
  </w:abstractNum>
  <w:abstractNum w:abstractNumId="44" w15:restartNumberingAfterBreak="0">
    <w:nsid w:val="720D1E29"/>
    <w:multiLevelType w:val="singleLevel"/>
    <w:tmpl w:val="E7A0AC50"/>
    <w:name w:val="TOC 2"/>
    <w:lvl w:ilvl="0">
      <w:start w:val="1"/>
      <w:numFmt w:val="decimal"/>
      <w:pStyle w:val="TOC2"/>
      <w:lvlText w:val="%1."/>
      <w:lvlJc w:val="left"/>
      <w:pPr>
        <w:tabs>
          <w:tab w:val="num" w:pos="360"/>
        </w:tabs>
        <w:ind w:left="360" w:hanging="360"/>
      </w:pPr>
      <w:rPr>
        <w:rFonts w:ascii="Bembo" w:hAnsi="Bembo" w:hint="default"/>
        <w:b w:val="0"/>
        <w:i w:val="0"/>
        <w:sz w:val="26"/>
      </w:rPr>
    </w:lvl>
  </w:abstractNum>
  <w:abstractNum w:abstractNumId="45" w15:restartNumberingAfterBreak="0">
    <w:nsid w:val="72ED30FE"/>
    <w:multiLevelType w:val="singleLevel"/>
    <w:tmpl w:val="CC66FF10"/>
    <w:lvl w:ilvl="0">
      <w:start w:val="1"/>
      <w:numFmt w:val="none"/>
      <w:lvlText w:val=""/>
      <w:legacy w:legacy="1" w:legacySpace="0" w:legacyIndent="0"/>
      <w:lvlJc w:val="left"/>
    </w:lvl>
  </w:abstractNum>
  <w:abstractNum w:abstractNumId="46" w15:restartNumberingAfterBreak="0">
    <w:nsid w:val="7CD53B2D"/>
    <w:multiLevelType w:val="singleLevel"/>
    <w:tmpl w:val="CC66FF10"/>
    <w:lvl w:ilvl="0">
      <w:start w:val="1"/>
      <w:numFmt w:val="none"/>
      <w:lvlText w:val=""/>
      <w:legacy w:legacy="1" w:legacySpace="0" w:legacyIndent="0"/>
      <w:lvlJc w:val="left"/>
    </w:lvl>
  </w:abstractNum>
  <w:abstractNum w:abstractNumId="47" w15:restartNumberingAfterBreak="0">
    <w:nsid w:val="7D561042"/>
    <w:multiLevelType w:val="hybridMultilevel"/>
    <w:tmpl w:val="CFAC84B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8" w15:restartNumberingAfterBreak="0">
    <w:nsid w:val="7E7469F0"/>
    <w:multiLevelType w:val="singleLevel"/>
    <w:tmpl w:val="CC66FF10"/>
    <w:lvl w:ilvl="0">
      <w:start w:val="1"/>
      <w:numFmt w:val="none"/>
      <w:lvlText w:val=""/>
      <w:legacy w:legacy="1" w:legacySpace="0" w:legacyIndent="0"/>
      <w:lvlJc w:val="left"/>
    </w:lvl>
  </w:abstractNum>
  <w:num w:numId="1" w16cid:durableId="1667589565">
    <w:abstractNumId w:val="9"/>
  </w:num>
  <w:num w:numId="2" w16cid:durableId="1077437358">
    <w:abstractNumId w:val="7"/>
  </w:num>
  <w:num w:numId="3" w16cid:durableId="1279946244">
    <w:abstractNumId w:val="6"/>
  </w:num>
  <w:num w:numId="4" w16cid:durableId="1437141947">
    <w:abstractNumId w:val="5"/>
  </w:num>
  <w:num w:numId="5" w16cid:durableId="684556086">
    <w:abstractNumId w:val="4"/>
  </w:num>
  <w:num w:numId="6" w16cid:durableId="2119836747">
    <w:abstractNumId w:val="18"/>
  </w:num>
  <w:num w:numId="7" w16cid:durableId="37976141">
    <w:abstractNumId w:val="25"/>
  </w:num>
  <w:num w:numId="8" w16cid:durableId="1809128812">
    <w:abstractNumId w:val="34"/>
  </w:num>
  <w:num w:numId="9" w16cid:durableId="1610702772">
    <w:abstractNumId w:val="46"/>
  </w:num>
  <w:num w:numId="10" w16cid:durableId="1338969098">
    <w:abstractNumId w:val="31"/>
  </w:num>
  <w:num w:numId="11" w16cid:durableId="2116902387">
    <w:abstractNumId w:val="19"/>
  </w:num>
  <w:num w:numId="12" w16cid:durableId="28726217">
    <w:abstractNumId w:val="15"/>
  </w:num>
  <w:num w:numId="13" w16cid:durableId="380637847">
    <w:abstractNumId w:val="29"/>
  </w:num>
  <w:num w:numId="14" w16cid:durableId="1680622478">
    <w:abstractNumId w:val="28"/>
  </w:num>
  <w:num w:numId="15" w16cid:durableId="1612589896">
    <w:abstractNumId w:val="10"/>
  </w:num>
  <w:num w:numId="16" w16cid:durableId="384918444">
    <w:abstractNumId w:val="21"/>
  </w:num>
  <w:num w:numId="17" w16cid:durableId="198010511">
    <w:abstractNumId w:val="12"/>
  </w:num>
  <w:num w:numId="18" w16cid:durableId="1109154831">
    <w:abstractNumId w:val="20"/>
  </w:num>
  <w:num w:numId="19" w16cid:durableId="139658283">
    <w:abstractNumId w:val="48"/>
  </w:num>
  <w:num w:numId="20" w16cid:durableId="640309226">
    <w:abstractNumId w:val="43"/>
  </w:num>
  <w:num w:numId="21" w16cid:durableId="31151097">
    <w:abstractNumId w:val="26"/>
  </w:num>
  <w:num w:numId="22" w16cid:durableId="851141095">
    <w:abstractNumId w:val="38"/>
  </w:num>
  <w:num w:numId="23" w16cid:durableId="514684716">
    <w:abstractNumId w:val="22"/>
  </w:num>
  <w:num w:numId="24" w16cid:durableId="727191321">
    <w:abstractNumId w:val="23"/>
  </w:num>
  <w:num w:numId="25" w16cid:durableId="1421757628">
    <w:abstractNumId w:val="11"/>
  </w:num>
  <w:num w:numId="26" w16cid:durableId="85394155">
    <w:abstractNumId w:val="41"/>
  </w:num>
  <w:num w:numId="27" w16cid:durableId="496459833">
    <w:abstractNumId w:val="13"/>
  </w:num>
  <w:num w:numId="28" w16cid:durableId="746222961">
    <w:abstractNumId w:val="45"/>
  </w:num>
  <w:num w:numId="29" w16cid:durableId="1025595177">
    <w:abstractNumId w:val="40"/>
  </w:num>
  <w:num w:numId="30" w16cid:durableId="2041201657">
    <w:abstractNumId w:val="44"/>
  </w:num>
  <w:num w:numId="31" w16cid:durableId="2012684849">
    <w:abstractNumId w:val="17"/>
  </w:num>
  <w:num w:numId="32" w16cid:durableId="1520464152">
    <w:abstractNumId w:val="33"/>
  </w:num>
  <w:num w:numId="33" w16cid:durableId="140925412">
    <w:abstractNumId w:val="24"/>
  </w:num>
  <w:num w:numId="34" w16cid:durableId="1201818634">
    <w:abstractNumId w:val="8"/>
  </w:num>
  <w:num w:numId="35" w16cid:durableId="1791704307">
    <w:abstractNumId w:val="3"/>
  </w:num>
  <w:num w:numId="36" w16cid:durableId="2081249822">
    <w:abstractNumId w:val="2"/>
  </w:num>
  <w:num w:numId="37" w16cid:durableId="1761413584">
    <w:abstractNumId w:val="1"/>
  </w:num>
  <w:num w:numId="38" w16cid:durableId="726270253">
    <w:abstractNumId w:val="0"/>
  </w:num>
  <w:num w:numId="39" w16cid:durableId="974676906">
    <w:abstractNumId w:val="42"/>
  </w:num>
  <w:num w:numId="40" w16cid:durableId="826363432">
    <w:abstractNumId w:val="32"/>
  </w:num>
  <w:num w:numId="41" w16cid:durableId="705907603">
    <w:abstractNumId w:val="35"/>
  </w:num>
  <w:num w:numId="42" w16cid:durableId="427850156">
    <w:abstractNumId w:val="27"/>
  </w:num>
  <w:num w:numId="43" w16cid:durableId="228999110">
    <w:abstractNumId w:val="14"/>
  </w:num>
  <w:num w:numId="44" w16cid:durableId="1609198721">
    <w:abstractNumId w:val="16"/>
  </w:num>
  <w:num w:numId="45" w16cid:durableId="1480684940">
    <w:abstractNumId w:val="37"/>
  </w:num>
  <w:num w:numId="46" w16cid:durableId="1063676746">
    <w:abstractNumId w:val="30"/>
  </w:num>
  <w:num w:numId="47" w16cid:durableId="1358121127">
    <w:abstractNumId w:val="36"/>
  </w:num>
  <w:num w:numId="48" w16cid:durableId="1763183745">
    <w:abstractNumId w:val="39"/>
  </w:num>
  <w:num w:numId="49" w16cid:durableId="1734306474">
    <w:abstractNumId w:val="4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1469"/>
    <w:rsid w:val="0000144A"/>
    <w:rsid w:val="0000144E"/>
    <w:rsid w:val="0000154B"/>
    <w:rsid w:val="00006CFA"/>
    <w:rsid w:val="0001184D"/>
    <w:rsid w:val="00051D47"/>
    <w:rsid w:val="00052485"/>
    <w:rsid w:val="0008546E"/>
    <w:rsid w:val="000876FC"/>
    <w:rsid w:val="000A11AC"/>
    <w:rsid w:val="000D3C2F"/>
    <w:rsid w:val="000E0E91"/>
    <w:rsid w:val="000F6510"/>
    <w:rsid w:val="001378F7"/>
    <w:rsid w:val="00146896"/>
    <w:rsid w:val="00161F27"/>
    <w:rsid w:val="00163A89"/>
    <w:rsid w:val="00164B8E"/>
    <w:rsid w:val="00180ED1"/>
    <w:rsid w:val="00184530"/>
    <w:rsid w:val="00190AA4"/>
    <w:rsid w:val="001D4E0B"/>
    <w:rsid w:val="001D56B7"/>
    <w:rsid w:val="001E1145"/>
    <w:rsid w:val="0021161D"/>
    <w:rsid w:val="002211BC"/>
    <w:rsid w:val="00226463"/>
    <w:rsid w:val="00227016"/>
    <w:rsid w:val="00272F6A"/>
    <w:rsid w:val="00296F20"/>
    <w:rsid w:val="002C0D1B"/>
    <w:rsid w:val="002C16A7"/>
    <w:rsid w:val="002D65B2"/>
    <w:rsid w:val="002F6A9D"/>
    <w:rsid w:val="0032257D"/>
    <w:rsid w:val="00325F41"/>
    <w:rsid w:val="00336FC0"/>
    <w:rsid w:val="0036068A"/>
    <w:rsid w:val="00374434"/>
    <w:rsid w:val="00395C37"/>
    <w:rsid w:val="003B05CE"/>
    <w:rsid w:val="003B29F1"/>
    <w:rsid w:val="003D6AE4"/>
    <w:rsid w:val="003E02E4"/>
    <w:rsid w:val="003E0756"/>
    <w:rsid w:val="00403EAE"/>
    <w:rsid w:val="0041430F"/>
    <w:rsid w:val="00420C41"/>
    <w:rsid w:val="004321D6"/>
    <w:rsid w:val="00435150"/>
    <w:rsid w:val="00483B55"/>
    <w:rsid w:val="004A30DE"/>
    <w:rsid w:val="004D4783"/>
    <w:rsid w:val="004E5C2A"/>
    <w:rsid w:val="005006C1"/>
    <w:rsid w:val="005065E0"/>
    <w:rsid w:val="005142BB"/>
    <w:rsid w:val="00542ACB"/>
    <w:rsid w:val="00547533"/>
    <w:rsid w:val="00590328"/>
    <w:rsid w:val="0059179D"/>
    <w:rsid w:val="005B2A10"/>
    <w:rsid w:val="005D1469"/>
    <w:rsid w:val="006000DA"/>
    <w:rsid w:val="006332E3"/>
    <w:rsid w:val="0064239E"/>
    <w:rsid w:val="00665566"/>
    <w:rsid w:val="006662F2"/>
    <w:rsid w:val="00666FF5"/>
    <w:rsid w:val="00691ACA"/>
    <w:rsid w:val="00691E42"/>
    <w:rsid w:val="006936F7"/>
    <w:rsid w:val="006A2E63"/>
    <w:rsid w:val="006A613F"/>
    <w:rsid w:val="006C623A"/>
    <w:rsid w:val="007000F8"/>
    <w:rsid w:val="00700FCD"/>
    <w:rsid w:val="00717A46"/>
    <w:rsid w:val="0073794A"/>
    <w:rsid w:val="00743B1C"/>
    <w:rsid w:val="007467D5"/>
    <w:rsid w:val="007800A7"/>
    <w:rsid w:val="00784C81"/>
    <w:rsid w:val="007B31A9"/>
    <w:rsid w:val="007E25F3"/>
    <w:rsid w:val="007F051A"/>
    <w:rsid w:val="00814F21"/>
    <w:rsid w:val="0081700C"/>
    <w:rsid w:val="00824178"/>
    <w:rsid w:val="00855801"/>
    <w:rsid w:val="00857F21"/>
    <w:rsid w:val="008719A6"/>
    <w:rsid w:val="00882427"/>
    <w:rsid w:val="00894432"/>
    <w:rsid w:val="008B1930"/>
    <w:rsid w:val="008B386D"/>
    <w:rsid w:val="008F53AE"/>
    <w:rsid w:val="008F5B5B"/>
    <w:rsid w:val="0090168A"/>
    <w:rsid w:val="00901A7B"/>
    <w:rsid w:val="00901DEF"/>
    <w:rsid w:val="00902872"/>
    <w:rsid w:val="00937605"/>
    <w:rsid w:val="009512FB"/>
    <w:rsid w:val="00953C32"/>
    <w:rsid w:val="009664DF"/>
    <w:rsid w:val="00974FAF"/>
    <w:rsid w:val="00975D2A"/>
    <w:rsid w:val="009C5A6A"/>
    <w:rsid w:val="00A47D16"/>
    <w:rsid w:val="00A669BE"/>
    <w:rsid w:val="00A7068C"/>
    <w:rsid w:val="00A72056"/>
    <w:rsid w:val="00A86923"/>
    <w:rsid w:val="00A86F2F"/>
    <w:rsid w:val="00AB0E51"/>
    <w:rsid w:val="00AB3701"/>
    <w:rsid w:val="00AB5B7D"/>
    <w:rsid w:val="00AC105A"/>
    <w:rsid w:val="00AD6AC3"/>
    <w:rsid w:val="00AE5A1E"/>
    <w:rsid w:val="00AF0739"/>
    <w:rsid w:val="00B32D33"/>
    <w:rsid w:val="00B5109E"/>
    <w:rsid w:val="00B55C98"/>
    <w:rsid w:val="00B67BAF"/>
    <w:rsid w:val="00B75F68"/>
    <w:rsid w:val="00B80391"/>
    <w:rsid w:val="00B96AF8"/>
    <w:rsid w:val="00BB103B"/>
    <w:rsid w:val="00BB7B55"/>
    <w:rsid w:val="00BC547E"/>
    <w:rsid w:val="00BD6D19"/>
    <w:rsid w:val="00BE0A06"/>
    <w:rsid w:val="00BE5DBD"/>
    <w:rsid w:val="00BF2429"/>
    <w:rsid w:val="00BF28D2"/>
    <w:rsid w:val="00BF60B9"/>
    <w:rsid w:val="00BF7D33"/>
    <w:rsid w:val="00C00186"/>
    <w:rsid w:val="00C01FE0"/>
    <w:rsid w:val="00C332BD"/>
    <w:rsid w:val="00C61F90"/>
    <w:rsid w:val="00C725C0"/>
    <w:rsid w:val="00C762C7"/>
    <w:rsid w:val="00C91DD0"/>
    <w:rsid w:val="00CA36A3"/>
    <w:rsid w:val="00CB6344"/>
    <w:rsid w:val="00CD0C30"/>
    <w:rsid w:val="00CD44D2"/>
    <w:rsid w:val="00CE0BE7"/>
    <w:rsid w:val="00D00018"/>
    <w:rsid w:val="00D13EA5"/>
    <w:rsid w:val="00D17B0F"/>
    <w:rsid w:val="00D2719F"/>
    <w:rsid w:val="00DA614F"/>
    <w:rsid w:val="00DC1A76"/>
    <w:rsid w:val="00DD0FCF"/>
    <w:rsid w:val="00DD5C58"/>
    <w:rsid w:val="00DD71D6"/>
    <w:rsid w:val="00DE4561"/>
    <w:rsid w:val="00DE4D08"/>
    <w:rsid w:val="00DF78AC"/>
    <w:rsid w:val="00E16A96"/>
    <w:rsid w:val="00E17750"/>
    <w:rsid w:val="00E2305C"/>
    <w:rsid w:val="00E3717E"/>
    <w:rsid w:val="00E43683"/>
    <w:rsid w:val="00E46543"/>
    <w:rsid w:val="00E60EC7"/>
    <w:rsid w:val="00E66085"/>
    <w:rsid w:val="00EA1607"/>
    <w:rsid w:val="00EA74E8"/>
    <w:rsid w:val="00EA7568"/>
    <w:rsid w:val="00ED293C"/>
    <w:rsid w:val="00EE1552"/>
    <w:rsid w:val="00EE4226"/>
    <w:rsid w:val="00EE55BA"/>
    <w:rsid w:val="00EF3392"/>
    <w:rsid w:val="00F05D7B"/>
    <w:rsid w:val="00F141B0"/>
    <w:rsid w:val="00F2627E"/>
    <w:rsid w:val="00F354B2"/>
    <w:rsid w:val="00F36A25"/>
    <w:rsid w:val="00F42872"/>
    <w:rsid w:val="00F84687"/>
    <w:rsid w:val="00F876D0"/>
    <w:rsid w:val="00F906B0"/>
    <w:rsid w:val="00FA14D9"/>
    <w:rsid w:val="00FA45F7"/>
    <w:rsid w:val="00FA59B5"/>
    <w:rsid w:val="00FD2A55"/>
    <w:rsid w:val="00FE1754"/>
    <w:rsid w:val="00FF524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DB222BD"/>
  <w15:chartTrackingRefBased/>
  <w15:docId w15:val="{39212612-BD14-4DC1-AF8A-97F76B44DC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40"/>
      <w:jc w:val="both"/>
    </w:pPr>
    <w:rPr>
      <w:rFonts w:eastAsia="SimSun"/>
      <w:sz w:val="24"/>
      <w:szCs w:val="24"/>
      <w:lang w:eastAsia="zh-CN"/>
    </w:rPr>
  </w:style>
  <w:style w:type="paragraph" w:styleId="Heading1">
    <w:name w:val="heading 1"/>
    <w:basedOn w:val="BodyText"/>
    <w:next w:val="BodyText"/>
    <w:qFormat/>
    <w:pPr>
      <w:keepNext/>
      <w:keepLines/>
      <w:jc w:val="left"/>
      <w:outlineLvl w:val="0"/>
    </w:pPr>
    <w:rPr>
      <w:b/>
      <w:caps/>
    </w:rPr>
  </w:style>
  <w:style w:type="paragraph" w:styleId="Heading2">
    <w:name w:val="heading 2"/>
    <w:basedOn w:val="BodyText"/>
    <w:next w:val="BodyText"/>
    <w:qFormat/>
    <w:pPr>
      <w:keepNext/>
      <w:keepLines/>
      <w:jc w:val="left"/>
      <w:outlineLvl w:val="1"/>
    </w:pPr>
    <w:rPr>
      <w:b/>
      <w:smallCaps/>
    </w:rPr>
  </w:style>
  <w:style w:type="paragraph" w:styleId="Heading3">
    <w:name w:val="heading 3"/>
    <w:basedOn w:val="BodyText"/>
    <w:next w:val="BodyText"/>
    <w:link w:val="Heading3Char"/>
    <w:qFormat/>
    <w:pPr>
      <w:keepNext/>
      <w:keepLines/>
      <w:outlineLvl w:val="2"/>
    </w:pPr>
    <w:rPr>
      <w:b/>
    </w:rPr>
  </w:style>
  <w:style w:type="paragraph" w:styleId="Heading4">
    <w:name w:val="heading 4"/>
    <w:basedOn w:val="BodyText"/>
    <w:next w:val="BodyText"/>
    <w:qFormat/>
    <w:pPr>
      <w:keepNext/>
      <w:keepLines/>
      <w:jc w:val="left"/>
      <w:outlineLvl w:val="3"/>
    </w:pPr>
  </w:style>
  <w:style w:type="paragraph" w:styleId="Heading5">
    <w:name w:val="heading 5"/>
    <w:basedOn w:val="BodyText"/>
    <w:next w:val="BodyText"/>
    <w:qFormat/>
    <w:pPr>
      <w:keepNext/>
      <w:keepLines/>
      <w:jc w:val="center"/>
      <w:outlineLvl w:val="4"/>
    </w:pPr>
    <w:rPr>
      <w:b/>
      <w:caps/>
    </w:rPr>
  </w:style>
  <w:style w:type="paragraph" w:styleId="Heading6">
    <w:name w:val="heading 6"/>
    <w:basedOn w:val="BodyText"/>
    <w:next w:val="BodyText"/>
    <w:qFormat/>
    <w:pPr>
      <w:keepNext/>
      <w:jc w:val="center"/>
      <w:outlineLvl w:val="5"/>
    </w:pPr>
    <w:rPr>
      <w:b/>
    </w:rPr>
  </w:style>
  <w:style w:type="paragraph" w:styleId="Heading7">
    <w:name w:val="heading 7"/>
    <w:basedOn w:val="BodyText"/>
    <w:next w:val="BodyText"/>
    <w:qFormat/>
    <w:pPr>
      <w:keepNext/>
      <w:keepLines/>
      <w:outlineLvl w:val="6"/>
    </w:pPr>
  </w:style>
  <w:style w:type="paragraph" w:styleId="Heading8">
    <w:name w:val="heading 8"/>
    <w:basedOn w:val="BodyText"/>
    <w:next w:val="BodyText"/>
    <w:qFormat/>
    <w:pPr>
      <w:jc w:val="left"/>
      <w:outlineLvl w:val="7"/>
    </w:pPr>
  </w:style>
  <w:style w:type="paragraph" w:styleId="Heading9">
    <w:name w:val="heading 9"/>
    <w:basedOn w:val="BodyText"/>
    <w:next w:val="Normal"/>
    <w:qFormat/>
    <w:pPr>
      <w:outlineLvl w:val="8"/>
    </w:pPr>
    <w:rPr>
      <w:rFonts w:cs="Arial"/>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Pr>
      <w:rFonts w:ascii="Bembo" w:hAnsi="Bembo"/>
      <w:sz w:val="26"/>
    </w:rPr>
  </w:style>
  <w:style w:type="character" w:styleId="CommentReference">
    <w:name w:val="annotation reference"/>
    <w:semiHidden/>
    <w:rPr>
      <w:rFonts w:ascii="Bembo" w:hAnsi="Bembo"/>
      <w:position w:val="6"/>
      <w:sz w:val="18"/>
    </w:rPr>
  </w:style>
  <w:style w:type="paragraph" w:styleId="CommentText">
    <w:name w:val="annotation text"/>
    <w:basedOn w:val="Normal"/>
    <w:semiHidden/>
    <w:pPr>
      <w:ind w:left="360" w:firstLine="360"/>
    </w:pPr>
    <w:rPr>
      <w:rFonts w:ascii="Bembo" w:hAnsi="Bembo"/>
      <w:sz w:val="18"/>
    </w:rPr>
  </w:style>
  <w:style w:type="paragraph" w:styleId="TOC8">
    <w:name w:val="toc 8"/>
    <w:basedOn w:val="BodyText"/>
    <w:semiHidden/>
    <w:pPr>
      <w:tabs>
        <w:tab w:val="right" w:leader="dot" w:pos="8309"/>
      </w:tabs>
      <w:ind w:left="1440"/>
    </w:pPr>
    <w:rPr>
      <w:i/>
    </w:rPr>
  </w:style>
  <w:style w:type="paragraph" w:styleId="TOC3">
    <w:name w:val="toc 3"/>
    <w:basedOn w:val="BodyText"/>
    <w:next w:val="BodyText"/>
    <w:semiHidden/>
    <w:pPr>
      <w:tabs>
        <w:tab w:val="right" w:leader="dot" w:pos="8309"/>
      </w:tabs>
      <w:spacing w:after="0"/>
      <w:ind w:left="432"/>
      <w:jc w:val="left"/>
    </w:pPr>
  </w:style>
  <w:style w:type="paragraph" w:styleId="TOC7">
    <w:name w:val="toc 7"/>
    <w:basedOn w:val="BodyText"/>
    <w:semiHidden/>
    <w:pPr>
      <w:tabs>
        <w:tab w:val="right" w:leader="dot" w:pos="8309"/>
      </w:tabs>
      <w:spacing w:after="0"/>
      <w:ind w:left="778"/>
    </w:pPr>
    <w:rPr>
      <w:i/>
    </w:rPr>
  </w:style>
  <w:style w:type="paragraph" w:styleId="TOC6">
    <w:name w:val="toc 6"/>
    <w:basedOn w:val="BodyText"/>
    <w:semiHidden/>
    <w:pPr>
      <w:tabs>
        <w:tab w:val="right" w:leader="dot" w:pos="8309"/>
      </w:tabs>
      <w:spacing w:after="0"/>
      <w:ind w:left="432"/>
      <w:jc w:val="left"/>
    </w:pPr>
  </w:style>
  <w:style w:type="paragraph" w:styleId="TOC5">
    <w:name w:val="toc 5"/>
    <w:basedOn w:val="BodyText"/>
    <w:semiHidden/>
    <w:pPr>
      <w:tabs>
        <w:tab w:val="right" w:leader="dot" w:pos="8309"/>
      </w:tabs>
      <w:spacing w:before="120" w:after="120"/>
      <w:jc w:val="left"/>
    </w:pPr>
    <w:rPr>
      <w:caps/>
    </w:rPr>
  </w:style>
  <w:style w:type="paragraph" w:styleId="TOC4">
    <w:name w:val="toc 4"/>
    <w:basedOn w:val="BodyText"/>
    <w:next w:val="BodyText"/>
    <w:semiHidden/>
    <w:pPr>
      <w:tabs>
        <w:tab w:val="right" w:leader="dot" w:pos="8309"/>
      </w:tabs>
      <w:spacing w:after="0"/>
      <w:ind w:left="780"/>
      <w:jc w:val="left"/>
    </w:pPr>
  </w:style>
  <w:style w:type="paragraph" w:styleId="TOC2">
    <w:name w:val="toc 2"/>
    <w:basedOn w:val="BodyText"/>
    <w:next w:val="BodyText"/>
    <w:semiHidden/>
    <w:pPr>
      <w:numPr>
        <w:numId w:val="30"/>
      </w:numPr>
      <w:tabs>
        <w:tab w:val="right" w:leader="dot" w:pos="8309"/>
      </w:tabs>
      <w:spacing w:before="120" w:after="120"/>
      <w:ind w:left="432" w:hanging="432"/>
      <w:jc w:val="left"/>
    </w:pPr>
    <w:rPr>
      <w:smallCaps/>
    </w:rPr>
  </w:style>
  <w:style w:type="paragraph" w:styleId="TOC1">
    <w:name w:val="toc 1"/>
    <w:basedOn w:val="BodyText"/>
    <w:next w:val="BodyText"/>
    <w:semiHidden/>
    <w:pPr>
      <w:keepNext/>
      <w:tabs>
        <w:tab w:val="right" w:leader="dot" w:pos="8309"/>
      </w:tabs>
      <w:spacing w:before="120" w:after="120"/>
      <w:jc w:val="left"/>
    </w:pPr>
    <w:rPr>
      <w:caps/>
    </w:rPr>
  </w:style>
  <w:style w:type="paragraph" w:styleId="Index1">
    <w:name w:val="index 1"/>
    <w:basedOn w:val="BodyText"/>
    <w:next w:val="Normal"/>
    <w:semiHidden/>
  </w:style>
  <w:style w:type="paragraph" w:styleId="IndexHeading">
    <w:name w:val="index heading"/>
    <w:basedOn w:val="BodyText"/>
    <w:next w:val="Index1"/>
    <w:semiHidden/>
    <w:pPr>
      <w:spacing w:after="480"/>
      <w:jc w:val="center"/>
    </w:pPr>
    <w:rPr>
      <w:b/>
      <w:caps/>
    </w:rPr>
  </w:style>
  <w:style w:type="paragraph" w:styleId="Footer">
    <w:name w:val="footer"/>
    <w:basedOn w:val="BodyText"/>
    <w:link w:val="FooterChar"/>
    <w:uiPriority w:val="99"/>
    <w:pPr>
      <w:tabs>
        <w:tab w:val="right" w:pos="8280"/>
      </w:tabs>
      <w:spacing w:after="0"/>
      <w:jc w:val="left"/>
    </w:pPr>
    <w:rPr>
      <w:rFonts w:ascii="Times New Roman" w:hAnsi="Times New Roman"/>
      <w:sz w:val="16"/>
    </w:rPr>
  </w:style>
  <w:style w:type="paragraph" w:styleId="Header">
    <w:name w:val="header"/>
    <w:basedOn w:val="BodyText"/>
    <w:semiHidden/>
    <w:pPr>
      <w:tabs>
        <w:tab w:val="right" w:pos="8280"/>
      </w:tabs>
    </w:pPr>
    <w:rPr>
      <w:sz w:val="18"/>
    </w:rPr>
  </w:style>
  <w:style w:type="character" w:styleId="FootnoteReference">
    <w:name w:val="footnote reference"/>
    <w:semiHidden/>
    <w:rPr>
      <w:rFonts w:ascii="Bembo" w:hAnsi="Bembo"/>
      <w:position w:val="6"/>
      <w:sz w:val="18"/>
    </w:rPr>
  </w:style>
  <w:style w:type="paragraph" w:styleId="FootnoteText">
    <w:name w:val="footnote text"/>
    <w:basedOn w:val="BodyText"/>
    <w:link w:val="FootnoteTextChar"/>
    <w:semiHidden/>
    <w:pPr>
      <w:spacing w:after="120"/>
      <w:ind w:left="187" w:hanging="187"/>
    </w:pPr>
    <w:rPr>
      <w:sz w:val="22"/>
    </w:rPr>
  </w:style>
  <w:style w:type="paragraph" w:styleId="NormalIndent">
    <w:name w:val="Normal Indent"/>
    <w:basedOn w:val="Normal"/>
    <w:semiHidden/>
  </w:style>
  <w:style w:type="paragraph" w:customStyle="1" w:styleId="a">
    <w:name w:val="(a)"/>
    <w:basedOn w:val="BodyText"/>
    <w:pPr>
      <w:ind w:left="720" w:hanging="720"/>
    </w:pPr>
  </w:style>
  <w:style w:type="paragraph" w:customStyle="1" w:styleId="i">
    <w:name w:val="(i)"/>
    <w:basedOn w:val="BodyText"/>
    <w:pPr>
      <w:tabs>
        <w:tab w:val="right" w:pos="1296"/>
      </w:tabs>
      <w:ind w:left="1440" w:hanging="1440"/>
    </w:pPr>
  </w:style>
  <w:style w:type="paragraph" w:customStyle="1" w:styleId="indexhead2">
    <w:name w:val="index head2"/>
    <w:basedOn w:val="BodyText"/>
    <w:pPr>
      <w:tabs>
        <w:tab w:val="right" w:pos="8064"/>
      </w:tabs>
    </w:pPr>
    <w:rPr>
      <w:b/>
    </w:rPr>
  </w:style>
  <w:style w:type="paragraph" w:customStyle="1" w:styleId="ParaHeading">
    <w:name w:val="ParaHeading"/>
    <w:basedOn w:val="BodyText"/>
    <w:next w:val="BodyText"/>
    <w:pPr>
      <w:keepNext/>
      <w:jc w:val="left"/>
    </w:pPr>
    <w:rPr>
      <w:b/>
    </w:rPr>
  </w:style>
  <w:style w:type="paragraph" w:customStyle="1" w:styleId="A0">
    <w:name w:val="A"/>
    <w:basedOn w:val="BodyText"/>
    <w:pPr>
      <w:ind w:left="1872" w:hanging="432"/>
    </w:pPr>
  </w:style>
  <w:style w:type="paragraph" w:customStyle="1" w:styleId="Sealing">
    <w:name w:val="Sealing"/>
    <w:basedOn w:val="BodyText"/>
    <w:pPr>
      <w:keepLines/>
      <w:tabs>
        <w:tab w:val="left" w:pos="1728"/>
        <w:tab w:val="left" w:pos="4320"/>
      </w:tabs>
      <w:spacing w:after="480"/>
      <w:jc w:val="left"/>
    </w:pPr>
  </w:style>
  <w:style w:type="paragraph" w:customStyle="1" w:styleId="footer2">
    <w:name w:val="footer2"/>
    <w:basedOn w:val="Footer"/>
    <w:pPr>
      <w:tabs>
        <w:tab w:val="clear" w:pos="8280"/>
        <w:tab w:val="right" w:pos="8064"/>
      </w:tabs>
    </w:pPr>
  </w:style>
  <w:style w:type="paragraph" w:customStyle="1" w:styleId="pmf">
    <w:name w:val="pmf"/>
    <w:basedOn w:val="BodyText"/>
  </w:style>
  <w:style w:type="paragraph" w:customStyle="1" w:styleId="Yourref">
    <w:name w:val="Yourref"/>
    <w:basedOn w:val="Normal"/>
    <w:next w:val="Date"/>
    <w:pPr>
      <w:tabs>
        <w:tab w:val="left" w:pos="1440"/>
      </w:tabs>
      <w:spacing w:after="840"/>
      <w:jc w:val="right"/>
    </w:pPr>
    <w:rPr>
      <w:sz w:val="18"/>
    </w:rPr>
  </w:style>
  <w:style w:type="paragraph" w:styleId="Date">
    <w:name w:val="Date"/>
    <w:basedOn w:val="Normal"/>
    <w:semiHidden/>
    <w:pPr>
      <w:jc w:val="right"/>
    </w:pPr>
  </w:style>
  <w:style w:type="paragraph" w:customStyle="1" w:styleId="Yours">
    <w:name w:val="Yours"/>
    <w:basedOn w:val="BodyText"/>
    <w:next w:val="Author"/>
    <w:pPr>
      <w:keepNext/>
      <w:spacing w:after="1200"/>
    </w:pPr>
  </w:style>
  <w:style w:type="paragraph" w:customStyle="1" w:styleId="Author">
    <w:name w:val="Author"/>
    <w:basedOn w:val="ys"/>
    <w:pPr>
      <w:spacing w:after="0"/>
    </w:pPr>
  </w:style>
  <w:style w:type="paragraph" w:customStyle="1" w:styleId="ys">
    <w:name w:val="ys"/>
    <w:basedOn w:val="Yours"/>
    <w:next w:val="Author"/>
    <w:pPr>
      <w:spacing w:after="240"/>
    </w:pPr>
  </w:style>
  <w:style w:type="paragraph" w:customStyle="1" w:styleId="Ourref">
    <w:name w:val="Ourref"/>
    <w:basedOn w:val="Normal"/>
    <w:next w:val="Yourref"/>
    <w:pPr>
      <w:tabs>
        <w:tab w:val="left" w:pos="1440"/>
      </w:tabs>
      <w:spacing w:after="200"/>
      <w:jc w:val="right"/>
    </w:pPr>
    <w:rPr>
      <w:sz w:val="18"/>
    </w:rPr>
  </w:style>
  <w:style w:type="paragraph" w:customStyle="1" w:styleId="Address">
    <w:name w:val="Address"/>
    <w:basedOn w:val="BodyText"/>
    <w:pPr>
      <w:spacing w:after="720"/>
      <w:jc w:val="left"/>
    </w:pPr>
  </w:style>
  <w:style w:type="paragraph" w:customStyle="1" w:styleId="DirectDial">
    <w:name w:val="Direct Dial"/>
    <w:basedOn w:val="Normal"/>
    <w:next w:val="Ourref"/>
    <w:pPr>
      <w:tabs>
        <w:tab w:val="left" w:pos="1440"/>
      </w:tabs>
      <w:spacing w:after="200"/>
      <w:jc w:val="right"/>
    </w:pPr>
    <w:rPr>
      <w:sz w:val="18"/>
    </w:rPr>
  </w:style>
  <w:style w:type="paragraph" w:customStyle="1" w:styleId="Dear">
    <w:name w:val="Dear"/>
    <w:basedOn w:val="Normal"/>
    <w:next w:val="BodyText"/>
  </w:style>
  <w:style w:type="paragraph" w:customStyle="1" w:styleId="EnvelopeAddress1">
    <w:name w:val="Envelope Address1"/>
    <w:basedOn w:val="Normal"/>
    <w:pPr>
      <w:keepNext/>
      <w:keepLines/>
      <w:framePr w:w="7920" w:h="1987" w:hRule="exact" w:hSpace="187" w:wrap="around" w:vAnchor="page" w:hAnchor="text" w:xAlign="center" w:y="2881"/>
      <w:ind w:left="2880"/>
    </w:pPr>
  </w:style>
  <w:style w:type="paragraph" w:customStyle="1" w:styleId="ByHand">
    <w:name w:val="ByHand"/>
    <w:basedOn w:val="BodyText"/>
    <w:next w:val="Address"/>
    <w:pPr>
      <w:spacing w:after="0"/>
      <w:jc w:val="left"/>
    </w:pPr>
  </w:style>
  <w:style w:type="paragraph" w:customStyle="1" w:styleId="MarginalNote">
    <w:name w:val="Marginal Note"/>
    <w:basedOn w:val="BodyText"/>
    <w:next w:val="BodyText"/>
    <w:pPr>
      <w:keepNext/>
      <w:keepLines/>
      <w:framePr w:w="1152" w:hSpace="144" w:wrap="around" w:vAnchor="text" w:hAnchor="page" w:y="1"/>
      <w:spacing w:before="40" w:after="0" w:line="180" w:lineRule="exact"/>
      <w:jc w:val="left"/>
    </w:pPr>
    <w:rPr>
      <w:b/>
      <w:sz w:val="18"/>
    </w:rPr>
  </w:style>
  <w:style w:type="paragraph" w:styleId="TOAHeading">
    <w:name w:val="toa heading"/>
    <w:basedOn w:val="BodyText"/>
    <w:next w:val="Normal"/>
    <w:semiHidden/>
    <w:pPr>
      <w:jc w:val="center"/>
    </w:pPr>
    <w:rPr>
      <w:rFonts w:cs="Arial"/>
      <w:b/>
      <w:bCs/>
    </w:rPr>
  </w:style>
  <w:style w:type="character" w:styleId="EndnoteReference">
    <w:name w:val="endnote reference"/>
    <w:semiHidden/>
    <w:rPr>
      <w:rFonts w:ascii="Bembo" w:hAnsi="Bembo"/>
      <w:vertAlign w:val="superscript"/>
    </w:rPr>
  </w:style>
  <w:style w:type="paragraph" w:styleId="ListBullet">
    <w:name w:val="List Bullet"/>
    <w:basedOn w:val="Normal"/>
    <w:autoRedefine/>
    <w:semiHidden/>
    <w:pPr>
      <w:tabs>
        <w:tab w:val="num" w:pos="360"/>
      </w:tabs>
      <w:ind w:left="360" w:hanging="360"/>
    </w:pPr>
  </w:style>
  <w:style w:type="paragraph" w:styleId="ListBullet2">
    <w:name w:val="List Bullet 2"/>
    <w:basedOn w:val="Normal"/>
    <w:autoRedefine/>
    <w:semiHidden/>
    <w:pPr>
      <w:tabs>
        <w:tab w:val="num" w:pos="360"/>
      </w:tabs>
      <w:ind w:left="360" w:hanging="360"/>
    </w:pPr>
  </w:style>
  <w:style w:type="paragraph" w:styleId="ListBullet3">
    <w:name w:val="List Bullet 3"/>
    <w:basedOn w:val="Normal"/>
    <w:autoRedefine/>
    <w:semiHidden/>
    <w:pPr>
      <w:tabs>
        <w:tab w:val="num" w:pos="720"/>
      </w:tabs>
      <w:ind w:left="720" w:hanging="720"/>
    </w:pPr>
  </w:style>
  <w:style w:type="paragraph" w:styleId="BlockText">
    <w:name w:val="Block Text"/>
    <w:basedOn w:val="Normal"/>
    <w:semiHidden/>
    <w:pPr>
      <w:ind w:left="1440" w:right="1440"/>
    </w:pPr>
    <w:rPr>
      <w:rFonts w:ascii="Bembo" w:hAnsi="Bembo"/>
      <w:sz w:val="26"/>
    </w:rPr>
  </w:style>
  <w:style w:type="paragraph" w:styleId="BodyTextIndent">
    <w:name w:val="Body Text Indent"/>
    <w:basedOn w:val="Normal"/>
    <w:semiHidden/>
    <w:pPr>
      <w:ind w:left="360"/>
    </w:pPr>
    <w:rPr>
      <w:rFonts w:ascii="Bembo" w:hAnsi="Bembo"/>
      <w:sz w:val="26"/>
    </w:rPr>
  </w:style>
  <w:style w:type="paragraph" w:styleId="EndnoteText">
    <w:name w:val="endnote text"/>
    <w:basedOn w:val="BodyText"/>
    <w:semiHidden/>
    <w:pPr>
      <w:spacing w:after="120"/>
    </w:pPr>
    <w:rPr>
      <w:sz w:val="18"/>
      <w:szCs w:val="20"/>
    </w:rPr>
  </w:style>
  <w:style w:type="paragraph" w:styleId="BodyText2">
    <w:name w:val="Body Text 2"/>
    <w:basedOn w:val="Normal"/>
    <w:semiHidden/>
    <w:rPr>
      <w:rFonts w:ascii="Bembo" w:hAnsi="Bembo"/>
      <w:sz w:val="26"/>
    </w:rPr>
  </w:style>
  <w:style w:type="paragraph" w:styleId="Caption">
    <w:name w:val="caption"/>
    <w:basedOn w:val="Normal"/>
    <w:next w:val="BodyText"/>
    <w:qFormat/>
    <w:pPr>
      <w:spacing w:before="120" w:after="120"/>
    </w:pPr>
    <w:rPr>
      <w:rFonts w:ascii="Bembo" w:hAnsi="Bembo"/>
      <w:b/>
      <w:bCs/>
      <w:sz w:val="18"/>
      <w:szCs w:val="20"/>
    </w:rPr>
  </w:style>
  <w:style w:type="paragraph" w:styleId="TOC9">
    <w:name w:val="toc 9"/>
    <w:basedOn w:val="BodyText"/>
    <w:next w:val="Normal"/>
    <w:autoRedefine/>
    <w:semiHidden/>
    <w:pPr>
      <w:tabs>
        <w:tab w:val="right" w:leader="dot" w:pos="8309"/>
      </w:tabs>
      <w:spacing w:after="0"/>
      <w:ind w:left="1440"/>
    </w:pPr>
    <w:rPr>
      <w:i/>
    </w:rPr>
  </w:style>
  <w:style w:type="character" w:styleId="PageNumber">
    <w:name w:val="page number"/>
    <w:rPr>
      <w:rFonts w:ascii="Times New Roman" w:hAnsi="Times New Roman" w:cs="Times New Roman"/>
      <w:sz w:val="24"/>
    </w:rPr>
  </w:style>
  <w:style w:type="paragraph" w:styleId="BodyText3">
    <w:name w:val="Body Text 3"/>
    <w:basedOn w:val="Normal"/>
    <w:semiHidden/>
    <w:rPr>
      <w:rFonts w:ascii="Bembo" w:hAnsi="Bembo"/>
      <w:sz w:val="26"/>
      <w:szCs w:val="16"/>
    </w:rPr>
  </w:style>
  <w:style w:type="paragraph" w:styleId="BodyTextFirstIndent">
    <w:name w:val="Body Text First Indent"/>
    <w:basedOn w:val="BodyText"/>
    <w:semiHidden/>
    <w:pPr>
      <w:ind w:firstLine="360"/>
    </w:pPr>
  </w:style>
  <w:style w:type="paragraph" w:styleId="BodyTextFirstIndent2">
    <w:name w:val="Body Text First Indent 2"/>
    <w:basedOn w:val="BodyTextIndent"/>
    <w:semiHidden/>
    <w:pPr>
      <w:ind w:firstLine="720"/>
    </w:pPr>
  </w:style>
  <w:style w:type="paragraph" w:styleId="BodyTextIndent2">
    <w:name w:val="Body Text Indent 2"/>
    <w:basedOn w:val="Normal"/>
    <w:semiHidden/>
    <w:pPr>
      <w:ind w:left="720"/>
    </w:pPr>
    <w:rPr>
      <w:rFonts w:ascii="Bembo" w:hAnsi="Bembo"/>
      <w:sz w:val="26"/>
    </w:rPr>
  </w:style>
  <w:style w:type="paragraph" w:styleId="BodyTextIndent3">
    <w:name w:val="Body Text Indent 3"/>
    <w:basedOn w:val="Normal"/>
    <w:semiHidden/>
    <w:pPr>
      <w:ind w:left="1080"/>
    </w:pPr>
    <w:rPr>
      <w:rFonts w:ascii="Bembo" w:hAnsi="Bembo"/>
      <w:sz w:val="26"/>
      <w:szCs w:val="16"/>
    </w:rPr>
  </w:style>
  <w:style w:type="paragraph" w:styleId="Closing">
    <w:name w:val="Closing"/>
    <w:basedOn w:val="Normal"/>
    <w:semiHidden/>
    <w:pPr>
      <w:ind w:left="4320"/>
    </w:pPr>
    <w:rPr>
      <w:rFonts w:ascii="Bembo" w:hAnsi="Bembo"/>
      <w:sz w:val="26"/>
    </w:rPr>
  </w:style>
  <w:style w:type="paragraph" w:styleId="ListBullet4">
    <w:name w:val="List Bullet 4"/>
    <w:basedOn w:val="Normal"/>
    <w:autoRedefine/>
    <w:semiHidden/>
    <w:pPr>
      <w:numPr>
        <w:numId w:val="33"/>
      </w:numPr>
    </w:pPr>
  </w:style>
  <w:style w:type="paragraph" w:styleId="E-mailSignature">
    <w:name w:val="E-mail Signature"/>
    <w:basedOn w:val="Normal"/>
    <w:semiHidden/>
    <w:rPr>
      <w:rFonts w:ascii="Bembo" w:hAnsi="Bembo"/>
      <w:sz w:val="26"/>
    </w:rPr>
  </w:style>
  <w:style w:type="character" w:styleId="Emphasis">
    <w:name w:val="Emphasis"/>
    <w:qFormat/>
    <w:rPr>
      <w:rFonts w:ascii="Bembo" w:hAnsi="Bembo"/>
      <w:b/>
      <w:i/>
      <w:iCs/>
      <w:sz w:val="26"/>
    </w:rPr>
  </w:style>
  <w:style w:type="paragraph" w:styleId="EnvelopeAddress">
    <w:name w:val="envelope address"/>
    <w:basedOn w:val="Normal"/>
    <w:semiHidden/>
    <w:pPr>
      <w:framePr w:w="7921" w:h="2552" w:hRule="exact" w:hSpace="181" w:vSpace="181" w:wrap="around" w:vAnchor="page" w:hAnchor="page" w:x="4322" w:y="2881"/>
      <w:spacing w:after="0"/>
    </w:pPr>
    <w:rPr>
      <w:rFonts w:ascii="Bembo" w:hAnsi="Bembo" w:cs="Arial"/>
      <w:sz w:val="26"/>
    </w:rPr>
  </w:style>
  <w:style w:type="paragraph" w:styleId="EnvelopeReturn">
    <w:name w:val="envelope return"/>
    <w:basedOn w:val="Normal"/>
    <w:semiHidden/>
    <w:rPr>
      <w:rFonts w:ascii="Bembo" w:hAnsi="Bembo" w:cs="Arial"/>
      <w:sz w:val="26"/>
      <w:szCs w:val="20"/>
    </w:rPr>
  </w:style>
  <w:style w:type="character" w:styleId="FollowedHyperlink">
    <w:name w:val="FollowedHyperlink"/>
    <w:semiHidden/>
    <w:rPr>
      <w:rFonts w:ascii="Bembo" w:hAnsi="Bembo"/>
      <w:color w:val="800080"/>
      <w:u w:val="single"/>
    </w:rPr>
  </w:style>
  <w:style w:type="paragraph" w:styleId="Index2">
    <w:name w:val="index 2"/>
    <w:basedOn w:val="BodyText"/>
    <w:next w:val="Normal"/>
    <w:autoRedefine/>
    <w:semiHidden/>
    <w:pPr>
      <w:ind w:left="480" w:hanging="240"/>
    </w:pPr>
  </w:style>
  <w:style w:type="paragraph" w:styleId="Index3">
    <w:name w:val="index 3"/>
    <w:basedOn w:val="BodyText"/>
    <w:next w:val="Normal"/>
    <w:autoRedefine/>
    <w:semiHidden/>
    <w:pPr>
      <w:ind w:left="720" w:hanging="240"/>
    </w:pPr>
  </w:style>
  <w:style w:type="paragraph" w:styleId="Index4">
    <w:name w:val="index 4"/>
    <w:basedOn w:val="BodyText"/>
    <w:next w:val="Normal"/>
    <w:autoRedefine/>
    <w:semiHidden/>
    <w:pPr>
      <w:ind w:left="960" w:hanging="240"/>
    </w:pPr>
  </w:style>
  <w:style w:type="paragraph" w:styleId="Index5">
    <w:name w:val="index 5"/>
    <w:basedOn w:val="BodyText"/>
    <w:next w:val="Normal"/>
    <w:autoRedefine/>
    <w:semiHidden/>
    <w:pPr>
      <w:ind w:left="1200" w:hanging="240"/>
    </w:pPr>
  </w:style>
  <w:style w:type="paragraph" w:styleId="Index6">
    <w:name w:val="index 6"/>
    <w:basedOn w:val="BodyText"/>
    <w:next w:val="Normal"/>
    <w:autoRedefine/>
    <w:semiHidden/>
    <w:pPr>
      <w:ind w:left="1440" w:hanging="240"/>
    </w:pPr>
  </w:style>
  <w:style w:type="paragraph" w:styleId="Index7">
    <w:name w:val="index 7"/>
    <w:basedOn w:val="BodyText"/>
    <w:next w:val="Normal"/>
    <w:autoRedefine/>
    <w:semiHidden/>
    <w:pPr>
      <w:ind w:left="1680" w:hanging="240"/>
    </w:pPr>
  </w:style>
  <w:style w:type="paragraph" w:styleId="Index8">
    <w:name w:val="index 8"/>
    <w:basedOn w:val="BodyText"/>
    <w:next w:val="Normal"/>
    <w:autoRedefine/>
    <w:semiHidden/>
    <w:pPr>
      <w:ind w:left="1920" w:hanging="240"/>
    </w:pPr>
  </w:style>
  <w:style w:type="paragraph" w:styleId="Index9">
    <w:name w:val="index 9"/>
    <w:basedOn w:val="BodyText"/>
    <w:next w:val="Normal"/>
    <w:autoRedefine/>
    <w:semiHidden/>
    <w:pPr>
      <w:ind w:left="2160" w:hanging="240"/>
    </w:pPr>
  </w:style>
  <w:style w:type="paragraph" w:styleId="List">
    <w:name w:val="List"/>
    <w:basedOn w:val="BodyText"/>
    <w:semiHidden/>
    <w:pPr>
      <w:numPr>
        <w:numId w:val="31"/>
      </w:numPr>
    </w:pPr>
  </w:style>
  <w:style w:type="paragraph" w:styleId="List2">
    <w:name w:val="List 2"/>
    <w:basedOn w:val="BodyText"/>
    <w:semiHidden/>
    <w:pPr>
      <w:numPr>
        <w:numId w:val="32"/>
      </w:numPr>
      <w:tabs>
        <w:tab w:val="clear" w:pos="720"/>
        <w:tab w:val="num" w:pos="360"/>
      </w:tabs>
      <w:ind w:left="360" w:hanging="360"/>
    </w:pPr>
  </w:style>
  <w:style w:type="paragraph" w:styleId="List3">
    <w:name w:val="List 3"/>
    <w:basedOn w:val="BodyText"/>
    <w:semiHidden/>
    <w:pPr>
      <w:numPr>
        <w:numId w:val="46"/>
      </w:numPr>
    </w:pPr>
  </w:style>
  <w:style w:type="paragraph" w:styleId="List4">
    <w:name w:val="List 4"/>
    <w:basedOn w:val="BodyText"/>
    <w:semiHidden/>
    <w:pPr>
      <w:numPr>
        <w:numId w:val="48"/>
      </w:numPr>
    </w:pPr>
  </w:style>
  <w:style w:type="paragraph" w:styleId="ListBullet5">
    <w:name w:val="List Bullet 5"/>
    <w:basedOn w:val="Normal"/>
    <w:autoRedefine/>
    <w:semiHidden/>
    <w:pPr>
      <w:numPr>
        <w:numId w:val="34"/>
      </w:numPr>
    </w:pPr>
  </w:style>
  <w:style w:type="paragraph" w:customStyle="1" w:styleId="IndexHeading2">
    <w:name w:val="Index Heading 2"/>
    <w:basedOn w:val="IndexHeading"/>
    <w:pPr>
      <w:tabs>
        <w:tab w:val="right" w:pos="8280"/>
      </w:tabs>
      <w:jc w:val="left"/>
    </w:pPr>
  </w:style>
  <w:style w:type="paragraph" w:customStyle="1" w:styleId="FooterRight">
    <w:name w:val="Footer Right"/>
    <w:basedOn w:val="Footer"/>
    <w:link w:val="FooterRightChar"/>
    <w:rsid w:val="007B31A9"/>
    <w:pPr>
      <w:jc w:val="right"/>
    </w:pPr>
  </w:style>
  <w:style w:type="character" w:customStyle="1" w:styleId="BodyTextChar">
    <w:name w:val="Body Text Char"/>
    <w:link w:val="BodyText"/>
    <w:semiHidden/>
    <w:rsid w:val="007B31A9"/>
    <w:rPr>
      <w:rFonts w:ascii="Bembo" w:eastAsia="SimSun" w:hAnsi="Bembo"/>
      <w:sz w:val="26"/>
      <w:szCs w:val="24"/>
      <w:lang w:bidi="ar-SA"/>
    </w:rPr>
  </w:style>
  <w:style w:type="character" w:customStyle="1" w:styleId="FooterRightChar">
    <w:name w:val="Footer Right Char"/>
    <w:link w:val="FooterRight"/>
    <w:rsid w:val="007B31A9"/>
    <w:rPr>
      <w:rFonts w:eastAsia="SimSun"/>
      <w:sz w:val="16"/>
      <w:szCs w:val="24"/>
      <w:lang w:eastAsia="zh-CN"/>
    </w:rPr>
  </w:style>
  <w:style w:type="paragraph" w:styleId="Revision">
    <w:name w:val="Revision"/>
    <w:hidden/>
    <w:uiPriority w:val="99"/>
    <w:semiHidden/>
    <w:rsid w:val="001D56B7"/>
    <w:rPr>
      <w:rFonts w:eastAsia="SimSun"/>
      <w:sz w:val="24"/>
      <w:szCs w:val="24"/>
      <w:lang w:eastAsia="zh-CN"/>
    </w:rPr>
  </w:style>
  <w:style w:type="character" w:customStyle="1" w:styleId="Heading3Char">
    <w:name w:val="Heading 3 Char"/>
    <w:link w:val="Heading3"/>
    <w:rsid w:val="000A11AC"/>
    <w:rPr>
      <w:rFonts w:ascii="Bembo" w:eastAsia="SimSun" w:hAnsi="Bembo"/>
      <w:b/>
      <w:sz w:val="26"/>
      <w:szCs w:val="24"/>
      <w:lang w:eastAsia="zh-CN"/>
    </w:rPr>
  </w:style>
  <w:style w:type="character" w:customStyle="1" w:styleId="FootnoteTextChar">
    <w:name w:val="Footnote Text Char"/>
    <w:link w:val="FootnoteText"/>
    <w:semiHidden/>
    <w:rsid w:val="00F42872"/>
    <w:rPr>
      <w:rFonts w:ascii="Bembo" w:eastAsia="SimSun" w:hAnsi="Bembo"/>
      <w:sz w:val="22"/>
      <w:szCs w:val="24"/>
      <w:lang w:eastAsia="zh-CN"/>
    </w:rPr>
  </w:style>
  <w:style w:type="character" w:customStyle="1" w:styleId="FooterChar">
    <w:name w:val="Footer Char"/>
    <w:link w:val="Footer"/>
    <w:uiPriority w:val="99"/>
    <w:rsid w:val="006A613F"/>
    <w:rPr>
      <w:rFonts w:eastAsia="SimSun"/>
      <w:sz w:val="16"/>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99836931">
      <w:bodyDiv w:val="1"/>
      <w:marLeft w:val="0"/>
      <w:marRight w:val="0"/>
      <w:marTop w:val="0"/>
      <w:marBottom w:val="0"/>
      <w:divBdr>
        <w:top w:val="none" w:sz="0" w:space="0" w:color="auto"/>
        <w:left w:val="none" w:sz="0" w:space="0" w:color="auto"/>
        <w:bottom w:val="none" w:sz="0" w:space="0" w:color="auto"/>
        <w:right w:val="none" w:sz="0" w:space="0" w:color="auto"/>
      </w:divBdr>
    </w:div>
    <w:div w:id="13651319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2.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3.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C690B68AEBF864A965C1911339FE7DD" ma:contentTypeVersion="18" ma:contentTypeDescription="Create a new document." ma:contentTypeScope="" ma:versionID="41573a60a19fba9a4d4ebe15865f27fe">
  <xsd:schema xmlns:xsd="http://www.w3.org/2001/XMLSchema" xmlns:xs="http://www.w3.org/2001/XMLSchema" xmlns:p="http://schemas.microsoft.com/office/2006/metadata/properties" xmlns:ns2="c06c6fe6-07de-4c3e-9fed-89a00ea95b35" xmlns:ns3="6adf8568-fe0f-4231-951c-0f5fb3116964" targetNamespace="http://schemas.microsoft.com/office/2006/metadata/properties" ma:root="true" ma:fieldsID="9bc09d43cc8bbf5cc8bf7138244d5eea" ns2:_="" ns3:_="">
    <xsd:import namespace="c06c6fe6-07de-4c3e-9fed-89a00ea95b35"/>
    <xsd:import namespace="6adf8568-fe0f-4231-951c-0f5fb311696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3:SharedWithUsers" minOccurs="0"/>
                <xsd:element ref="ns3:SharedWithDetails" minOccurs="0"/>
                <xsd:element ref="ns2:MediaServiceLocation" minOccurs="0"/>
                <xsd:element ref="ns2:MediaServiceEventHashCode" minOccurs="0"/>
                <xsd:element ref="ns2:MediaServiceGenerationTim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6c6fe6-07de-4c3e-9fed-89a00ea95b3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4342193b-1599-4434-b7af-91a0f1fddcd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adf8568-fe0f-4231-951c-0f5fb3116964"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3fdf35f-d91c-4159-91ca-c98c0eb10fbc}" ma:internalName="TaxCatchAll" ma:showField="CatchAllData" ma:web="6adf8568-fe0f-4231-951c-0f5fb311696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c06c6fe6-07de-4c3e-9fed-89a00ea95b35">
      <Terms xmlns="http://schemas.microsoft.com/office/infopath/2007/PartnerControls"/>
    </lcf76f155ced4ddcb4097134ff3c332f>
    <TaxCatchAll xmlns="6adf8568-fe0f-4231-951c-0f5fb3116964" xsi:nil="true"/>
  </documentManagement>
</p:properties>
</file>

<file path=customXml/itemProps1.xml><?xml version="1.0" encoding="utf-8"?>
<ds:datastoreItem xmlns:ds="http://schemas.openxmlformats.org/officeDocument/2006/customXml" ds:itemID="{0B27F245-54D8-4BE4-A0A1-2FB20441B4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06c6fe6-07de-4c3e-9fed-89a00ea95b35"/>
    <ds:schemaRef ds:uri="6adf8568-fe0f-4231-951c-0f5fb311696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643E34-D511-4D7D-8571-06276415D164}">
  <ds:schemaRefs>
    <ds:schemaRef ds:uri="http://schemas.microsoft.com/sharepoint/v3/contenttype/forms"/>
  </ds:schemaRefs>
</ds:datastoreItem>
</file>

<file path=customXml/itemProps3.xml><?xml version="1.0" encoding="utf-8"?>
<ds:datastoreItem xmlns:ds="http://schemas.openxmlformats.org/officeDocument/2006/customXml" ds:itemID="{526CCD35-B7B6-4D15-A4D8-C217544FBF3B}">
  <ds:schemaRefs>
    <ds:schemaRef ds:uri="http://schemas.microsoft.com/office/2006/metadata/properties"/>
    <ds:schemaRef ds:uri="http://schemas.microsoft.com/office/infopath/2007/PartnerControls"/>
    <ds:schemaRef ds:uri="c06c6fe6-07de-4c3e-9fed-89a00ea95b35"/>
    <ds:schemaRef ds:uri="6adf8568-fe0f-4231-951c-0f5fb3116964"/>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1333</Words>
  <Characters>7602</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Harry Kingham</dc:creator>
  <cp:keywords/>
  <cp:lastModifiedBy>Harry Kingham</cp:lastModifiedBy>
  <cp:revision>2</cp:revision>
  <cp:lastPrinted>1900-01-01T00:00:00Z</cp:lastPrinted>
  <dcterms:created xsi:type="dcterms:W3CDTF">2024-08-14T14:47:00Z</dcterms:created>
  <dcterms:modified xsi:type="dcterms:W3CDTF">2024-08-14T14:47:00Z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0x010100FC690B68AEBF864A965C1911339FE7DD</vt:lpwstr>
  </property>
</Properties>
</file>